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_GB2312" w:hAnsi="仿宋_GB2312" w:eastAsia="仿宋_GB2312"/>
          <w:color w:val="auto"/>
          <w:sz w:val="32"/>
          <w:szCs w:val="24"/>
        </w:rPr>
      </w:pPr>
      <w:r>
        <w:rPr>
          <w:rFonts w:hint="eastAsia" w:ascii="仿宋_GB2312" w:hAnsi="仿宋_GB2312" w:eastAsia="仿宋_GB2312"/>
          <w:b/>
          <w:bCs/>
          <w:color w:val="auto"/>
          <w:sz w:val="44"/>
          <w:szCs w:val="44"/>
          <w:lang w:eastAsia="zh-CN"/>
        </w:rPr>
        <w:t>磴口县政务服务局预算绩效评价</w:t>
      </w:r>
      <w:bookmarkStart w:id="0" w:name="_GoBack"/>
      <w:bookmarkEnd w:id="0"/>
    </w:p>
    <w:p>
      <w:pPr>
        <w:spacing w:line="580" w:lineRule="exact"/>
        <w:rPr>
          <w:rFonts w:hint="eastAsia"/>
          <w:color w:val="auto"/>
          <w:sz w:val="32"/>
          <w:szCs w:val="24"/>
        </w:rPr>
      </w:pPr>
      <w:r>
        <w:rPr>
          <w:rFonts w:hint="eastAsia" w:ascii="仿宋_GB2312" w:hAnsi="仿宋_GB2312" w:eastAsia="仿宋_GB2312"/>
          <w:color w:val="auto"/>
          <w:sz w:val="32"/>
          <w:szCs w:val="24"/>
        </w:rPr>
        <w:t>预算绩效情况说明</w:t>
      </w:r>
    </w:p>
    <w:p>
      <w:pPr>
        <w:spacing w:line="580" w:lineRule="exact"/>
        <w:ind w:firstLine="600"/>
        <w:rPr>
          <w:rFonts w:hint="eastAsia"/>
          <w:color w:val="auto"/>
          <w:sz w:val="32"/>
          <w:szCs w:val="24"/>
        </w:rPr>
      </w:pPr>
      <w:r>
        <w:rPr>
          <w:rFonts w:hint="eastAsia" w:ascii="仿宋_GB2312" w:hAnsi="仿宋_GB2312" w:eastAsia="仿宋_GB2312"/>
          <w:color w:val="auto"/>
          <w:sz w:val="32"/>
          <w:szCs w:val="24"/>
        </w:rPr>
        <w:t>（一）预算绩效管理工作开展情况</w:t>
      </w:r>
    </w:p>
    <w:p>
      <w:pPr>
        <w:spacing w:line="580" w:lineRule="exact"/>
        <w:ind w:firstLine="600"/>
        <w:rPr>
          <w:rFonts w:hint="eastAsia" w:ascii="仿宋_GB2312" w:hAnsi="仿宋_GB2312" w:eastAsia="仿宋_GB2312"/>
          <w:color w:val="000000"/>
          <w:sz w:val="32"/>
          <w:szCs w:val="24"/>
          <w:lang w:eastAsia="zh-CN"/>
        </w:rPr>
      </w:pPr>
      <w:r>
        <w:rPr>
          <w:rFonts w:hint="eastAsia" w:ascii="仿宋_GB2312" w:hAnsi="仿宋_GB2312" w:eastAsia="仿宋_GB2312"/>
          <w:color w:val="000000"/>
          <w:sz w:val="32"/>
          <w:szCs w:val="24"/>
        </w:rPr>
        <w:t>根据预算绩效管理要求，我单位组织对2020年度一般公共预算项目支出全面开展绩效自评，其中，一级项目</w:t>
      </w:r>
      <w:r>
        <w:rPr>
          <w:rFonts w:hint="eastAsia" w:ascii="仿宋_GB2312" w:hAnsi="仿宋_GB2312" w:eastAsia="仿宋_GB2312"/>
          <w:color w:val="000000"/>
          <w:sz w:val="32"/>
          <w:szCs w:val="24"/>
          <w:lang w:val="en-US" w:eastAsia="zh-CN"/>
        </w:rPr>
        <w:t>1</w:t>
      </w:r>
      <w:r>
        <w:rPr>
          <w:rFonts w:hint="eastAsia" w:ascii="仿宋_GB2312" w:hAnsi="仿宋_GB2312" w:eastAsia="仿宋_GB2312"/>
          <w:color w:val="000000"/>
          <w:sz w:val="32"/>
          <w:szCs w:val="24"/>
        </w:rPr>
        <w:t>个，二级项目</w:t>
      </w:r>
      <w:r>
        <w:rPr>
          <w:rFonts w:hint="eastAsia" w:ascii="仿宋_GB2312" w:hAnsi="仿宋_GB2312" w:eastAsia="仿宋_GB2312"/>
          <w:color w:val="000000"/>
          <w:sz w:val="32"/>
          <w:szCs w:val="24"/>
          <w:lang w:val="en-US" w:eastAsia="zh-CN"/>
        </w:rPr>
        <w:t>0</w:t>
      </w:r>
      <w:r>
        <w:rPr>
          <w:rFonts w:hint="eastAsia" w:ascii="仿宋_GB2312" w:hAnsi="仿宋_GB2312" w:eastAsia="仿宋_GB2312"/>
          <w:color w:val="000000"/>
          <w:sz w:val="32"/>
          <w:szCs w:val="24"/>
        </w:rPr>
        <w:t>个，共涉及资金</w:t>
      </w:r>
      <w:r>
        <w:rPr>
          <w:rFonts w:hint="eastAsia" w:ascii="仿宋_GB2312" w:hAnsi="仿宋_GB2312" w:eastAsia="仿宋_GB2312"/>
          <w:color w:val="000000"/>
          <w:sz w:val="32"/>
          <w:szCs w:val="24"/>
          <w:lang w:val="en-US" w:eastAsia="zh-CN"/>
        </w:rPr>
        <w:t>263.2</w:t>
      </w:r>
      <w:r>
        <w:rPr>
          <w:rFonts w:hint="eastAsia" w:ascii="仿宋_GB2312" w:hAnsi="仿宋_GB2312" w:eastAsia="仿宋_GB2312"/>
          <w:color w:val="000000"/>
          <w:sz w:val="32"/>
          <w:szCs w:val="24"/>
        </w:rPr>
        <w:t>万元，占一般公共预算项目支出总额的100%；政府性基金预算项目</w:t>
      </w:r>
      <w:r>
        <w:rPr>
          <w:rFonts w:hint="eastAsia" w:ascii="仿宋_GB2312" w:hAnsi="仿宋_GB2312" w:eastAsia="仿宋_GB2312"/>
          <w:color w:val="000000"/>
          <w:sz w:val="32"/>
          <w:szCs w:val="24"/>
          <w:lang w:val="en-US" w:eastAsia="zh-CN"/>
        </w:rPr>
        <w:t>0</w:t>
      </w:r>
      <w:r>
        <w:rPr>
          <w:rFonts w:hint="eastAsia" w:ascii="仿宋_GB2312" w:hAnsi="仿宋_GB2312" w:eastAsia="仿宋_GB2312"/>
          <w:color w:val="000000"/>
          <w:sz w:val="32"/>
          <w:szCs w:val="24"/>
        </w:rPr>
        <w:t>个，其中，一级项目</w:t>
      </w:r>
      <w:r>
        <w:rPr>
          <w:rFonts w:hint="eastAsia" w:ascii="仿宋_GB2312" w:hAnsi="仿宋_GB2312" w:eastAsia="仿宋_GB2312"/>
          <w:color w:val="000000"/>
          <w:sz w:val="32"/>
          <w:szCs w:val="24"/>
          <w:lang w:val="en-US" w:eastAsia="zh-CN"/>
        </w:rPr>
        <w:t>0</w:t>
      </w:r>
      <w:r>
        <w:rPr>
          <w:rFonts w:hint="eastAsia" w:ascii="仿宋_GB2312" w:hAnsi="仿宋_GB2312" w:eastAsia="仿宋_GB2312"/>
          <w:color w:val="000000"/>
          <w:sz w:val="32"/>
          <w:szCs w:val="24"/>
        </w:rPr>
        <w:t>个，二级项目</w:t>
      </w:r>
      <w:r>
        <w:rPr>
          <w:rFonts w:hint="eastAsia" w:ascii="仿宋_GB2312" w:hAnsi="仿宋_GB2312" w:eastAsia="仿宋_GB2312"/>
          <w:color w:val="000000"/>
          <w:sz w:val="32"/>
          <w:szCs w:val="24"/>
          <w:lang w:val="en-US" w:eastAsia="zh-CN"/>
        </w:rPr>
        <w:t>0</w:t>
      </w:r>
      <w:r>
        <w:rPr>
          <w:rFonts w:hint="eastAsia" w:ascii="仿宋_GB2312" w:hAnsi="仿宋_GB2312" w:eastAsia="仿宋_GB2312"/>
          <w:color w:val="000000"/>
          <w:sz w:val="32"/>
          <w:szCs w:val="24"/>
        </w:rPr>
        <w:t>个，共涉及资金</w:t>
      </w:r>
      <w:r>
        <w:rPr>
          <w:rFonts w:hint="eastAsia" w:ascii="仿宋_GB2312" w:hAnsi="仿宋_GB2312" w:eastAsia="仿宋_GB2312"/>
          <w:color w:val="000000"/>
          <w:sz w:val="32"/>
          <w:szCs w:val="24"/>
          <w:lang w:val="en-US" w:eastAsia="zh-CN"/>
        </w:rPr>
        <w:t>0</w:t>
      </w:r>
      <w:r>
        <w:rPr>
          <w:rFonts w:hint="eastAsia" w:ascii="仿宋_GB2312" w:hAnsi="仿宋_GB2312" w:eastAsia="仿宋_GB2312"/>
          <w:color w:val="000000"/>
          <w:sz w:val="32"/>
          <w:szCs w:val="24"/>
        </w:rPr>
        <w:t>万元，占应纳入绩效自评的政府性基金预算项目支出总额的100%</w:t>
      </w:r>
      <w:r>
        <w:rPr>
          <w:rFonts w:hint="eastAsia" w:ascii="仿宋_GB2312" w:hAnsi="仿宋_GB2312" w:eastAsia="仿宋_GB2312"/>
          <w:color w:val="000000"/>
          <w:sz w:val="32"/>
          <w:szCs w:val="24"/>
          <w:lang w:eastAsia="zh-CN"/>
        </w:rPr>
        <w:t>。</w:t>
      </w:r>
    </w:p>
    <w:p>
      <w:pPr>
        <w:autoSpaceDE w:val="0"/>
        <w:autoSpaceDN w:val="0"/>
        <w:spacing w:line="68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olor w:val="000000"/>
          <w:sz w:val="32"/>
          <w:szCs w:val="24"/>
        </w:rPr>
        <w:t>组织对“</w:t>
      </w:r>
      <w:r>
        <w:rPr>
          <w:rFonts w:hint="eastAsia" w:ascii="仿宋_GB2312" w:hAnsi="仿宋_GB2312" w:eastAsia="仿宋_GB2312"/>
          <w:color w:val="000000"/>
          <w:sz w:val="32"/>
          <w:szCs w:val="24"/>
          <w:lang w:eastAsia="zh-CN"/>
        </w:rPr>
        <w:t>大楼物业管理费及政务信息系统建设经费</w:t>
      </w:r>
      <w:r>
        <w:rPr>
          <w:rFonts w:hint="eastAsia" w:ascii="仿宋_GB2312" w:hAnsi="仿宋_GB2312" w:eastAsia="仿宋_GB2312"/>
          <w:color w:val="000000"/>
          <w:sz w:val="32"/>
          <w:szCs w:val="24"/>
        </w:rPr>
        <w:t xml:space="preserve"> ”</w:t>
      </w:r>
      <w:r>
        <w:rPr>
          <w:rFonts w:hint="eastAsia" w:ascii="仿宋_GB2312" w:hAnsi="仿宋_GB2312" w:eastAsia="仿宋_GB2312"/>
          <w:color w:val="000000"/>
          <w:sz w:val="32"/>
          <w:szCs w:val="24"/>
          <w:lang w:val="en-US" w:eastAsia="zh-CN"/>
        </w:rPr>
        <w:t>1</w:t>
      </w:r>
      <w:r>
        <w:rPr>
          <w:rFonts w:hint="eastAsia" w:ascii="仿宋_GB2312" w:hAnsi="仿宋_GB2312" w:eastAsia="仿宋_GB2312"/>
          <w:color w:val="000000"/>
          <w:sz w:val="32"/>
          <w:szCs w:val="24"/>
        </w:rPr>
        <w:t>个项目开展了部门评价。</w:t>
      </w:r>
      <w:r>
        <w:rPr>
          <w:rFonts w:hint="eastAsia" w:ascii="仿宋_GB2312" w:eastAsia="仿宋_GB2312" w:cs="仿宋_GB2312"/>
          <w:color w:val="000000"/>
          <w:sz w:val="32"/>
          <w:szCs w:val="32"/>
          <w:lang w:eastAsia="zh-CN"/>
        </w:rPr>
        <w:t>涉及一般公共预算支出</w:t>
      </w:r>
      <w:r>
        <w:rPr>
          <w:rFonts w:hint="eastAsia" w:ascii="仿宋_GB2312" w:eastAsia="仿宋_GB2312" w:cs="仿宋_GB2312"/>
          <w:color w:val="000000"/>
          <w:sz w:val="32"/>
          <w:szCs w:val="32"/>
          <w:lang w:val="en-US" w:eastAsia="zh-CN"/>
        </w:rPr>
        <w:t>263.2</w:t>
      </w:r>
      <w:r>
        <w:rPr>
          <w:rFonts w:hint="eastAsia" w:ascii="仿宋_GB2312" w:eastAsia="仿宋_GB2312" w:cs="仿宋_GB2312"/>
          <w:color w:val="000000"/>
          <w:sz w:val="32"/>
          <w:szCs w:val="32"/>
          <w:lang w:eastAsia="zh-CN"/>
        </w:rPr>
        <w:t>万元，政府性基金支出</w:t>
      </w:r>
      <w:r>
        <w:rPr>
          <w:rFonts w:hint="eastAsia" w:ascii="仿宋_GB2312" w:eastAsia="仿宋_GB2312" w:cs="仿宋_GB2312"/>
          <w:color w:val="000000"/>
          <w:sz w:val="32"/>
          <w:szCs w:val="32"/>
          <w:lang w:val="en-US"/>
        </w:rPr>
        <w:t>0</w:t>
      </w:r>
      <w:r>
        <w:rPr>
          <w:rFonts w:hint="eastAsia" w:ascii="仿宋_GB2312" w:eastAsia="仿宋_GB2312" w:cs="仿宋_GB2312"/>
          <w:color w:val="000000"/>
          <w:sz w:val="32"/>
          <w:szCs w:val="32"/>
          <w:lang w:eastAsia="zh-CN"/>
        </w:rPr>
        <w:t>万元。</w:t>
      </w:r>
      <w:r>
        <w:rPr>
          <w:rFonts w:hint="eastAsia" w:ascii="仿宋_GB2312" w:hAnsi="仿宋_GB2312" w:eastAsia="仿宋_GB2312" w:cs="仿宋_GB2312"/>
          <w:color w:val="000000"/>
          <w:sz w:val="32"/>
          <w:szCs w:val="32"/>
          <w:lang w:eastAsia="zh-CN"/>
        </w:rPr>
        <w:t>从评价情况来看，该项目按照项目绩效目标圆满完成了绩效目标任务，取得了良好的社会效益，达到了预期目的。</w:t>
      </w:r>
    </w:p>
    <w:p>
      <w:pPr>
        <w:autoSpaceDE w:val="0"/>
        <w:autoSpaceDN w:val="0"/>
        <w:spacing w:line="68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磴口县公共资源交易中心未开展预算绩效管理工作。</w:t>
      </w:r>
    </w:p>
    <w:p>
      <w:pPr>
        <w:spacing w:line="580" w:lineRule="exact"/>
        <w:ind w:firstLine="600"/>
        <w:rPr>
          <w:rFonts w:hint="eastAsia"/>
          <w:color w:val="auto"/>
          <w:sz w:val="32"/>
          <w:szCs w:val="24"/>
        </w:rPr>
      </w:pPr>
      <w:r>
        <w:rPr>
          <w:rFonts w:hint="eastAsia" w:ascii="仿宋_GB2312" w:hAnsi="仿宋_GB2312" w:eastAsia="仿宋_GB2312"/>
          <w:color w:val="auto"/>
          <w:sz w:val="32"/>
          <w:szCs w:val="24"/>
        </w:rPr>
        <w:t>（二）部门决算中项目绩效自评结果</w:t>
      </w:r>
    </w:p>
    <w:p>
      <w:pPr>
        <w:spacing w:line="580" w:lineRule="exact"/>
        <w:ind w:firstLine="600"/>
        <w:rPr>
          <w:rFonts w:hint="eastAsia" w:ascii="仿宋_GB2312" w:hAnsi="仿宋_GB2312" w:eastAsia="仿宋_GB2312"/>
          <w:color w:val="000000"/>
          <w:sz w:val="32"/>
          <w:szCs w:val="24"/>
          <w:lang w:val="en-US" w:eastAsia="zh-CN"/>
        </w:rPr>
      </w:pPr>
      <w:r>
        <w:rPr>
          <w:rFonts w:hint="eastAsia" w:ascii="仿宋_GB2312" w:hAnsi="仿宋_GB2312" w:eastAsia="仿宋_GB2312"/>
          <w:color w:val="000000"/>
          <w:sz w:val="32"/>
          <w:szCs w:val="24"/>
        </w:rPr>
        <w:t xml:space="preserve">我单位今年在部门决算中反映“ </w:t>
      </w:r>
      <w:r>
        <w:rPr>
          <w:rFonts w:hint="eastAsia" w:ascii="仿宋_GB2312" w:hAnsi="仿宋_GB2312" w:eastAsia="仿宋_GB2312"/>
          <w:color w:val="000000"/>
          <w:sz w:val="32"/>
          <w:szCs w:val="24"/>
          <w:lang w:eastAsia="zh-CN"/>
        </w:rPr>
        <w:t>大楼物业管理费及政务信息系统建设经费</w:t>
      </w:r>
      <w:r>
        <w:rPr>
          <w:rFonts w:hint="eastAsia" w:ascii="仿宋_GB2312" w:hAnsi="仿宋_GB2312" w:eastAsia="仿宋_GB2312"/>
          <w:color w:val="000000"/>
          <w:sz w:val="32"/>
          <w:szCs w:val="24"/>
        </w:rPr>
        <w:t xml:space="preserve">  ”</w:t>
      </w:r>
      <w:r>
        <w:rPr>
          <w:rFonts w:hint="eastAsia" w:ascii="仿宋_GB2312" w:hAnsi="仿宋_GB2312" w:eastAsia="仿宋_GB2312"/>
          <w:color w:val="000000"/>
          <w:sz w:val="32"/>
          <w:szCs w:val="24"/>
          <w:lang w:val="en-US" w:eastAsia="zh-CN"/>
        </w:rPr>
        <w:t>1</w:t>
      </w:r>
      <w:r>
        <w:rPr>
          <w:rFonts w:hint="eastAsia" w:ascii="仿宋_GB2312" w:hAnsi="仿宋_GB2312" w:eastAsia="仿宋_GB2312"/>
          <w:color w:val="000000"/>
          <w:sz w:val="32"/>
          <w:szCs w:val="24"/>
        </w:rPr>
        <w:t>个一般公共预算项目</w:t>
      </w:r>
      <w:r>
        <w:rPr>
          <w:rFonts w:hint="eastAsia" w:ascii="仿宋_GB2312" w:hAnsi="仿宋_GB2312" w:eastAsia="仿宋_GB2312"/>
          <w:color w:val="000000"/>
          <w:sz w:val="32"/>
          <w:szCs w:val="24"/>
          <w:lang w:eastAsia="zh-CN"/>
        </w:rPr>
        <w:t>的</w:t>
      </w:r>
      <w:r>
        <w:rPr>
          <w:rFonts w:hint="eastAsia" w:ascii="仿宋_GB2312" w:hAnsi="仿宋_GB2312" w:eastAsia="仿宋_GB2312"/>
          <w:color w:val="000000"/>
          <w:sz w:val="32"/>
          <w:szCs w:val="24"/>
        </w:rPr>
        <w:t>绩效自评结果</w:t>
      </w:r>
      <w:r>
        <w:rPr>
          <w:rFonts w:hint="eastAsia" w:ascii="仿宋_GB2312" w:hAnsi="仿宋_GB2312" w:eastAsia="仿宋_GB2312"/>
          <w:color w:val="000000"/>
          <w:sz w:val="32"/>
          <w:szCs w:val="24"/>
          <w:lang w:eastAsia="zh-CN"/>
        </w:rPr>
        <w:t>如下：</w:t>
      </w:r>
    </w:p>
    <w:p>
      <w:pPr>
        <w:numPr>
          <w:ilvl w:val="0"/>
          <w:numId w:val="0"/>
        </w:numPr>
        <w:spacing w:line="580" w:lineRule="exact"/>
        <w:ind w:firstLine="640" w:firstLineChars="200"/>
        <w:rPr>
          <w:rFonts w:hint="eastAsia" w:ascii="仿宋_GB2312" w:hAnsi="仿宋_GB2312" w:eastAsia="仿宋_GB2312"/>
          <w:color w:val="000000"/>
          <w:sz w:val="32"/>
          <w:szCs w:val="24"/>
          <w:lang w:val="en-US" w:eastAsia="zh-CN"/>
        </w:rPr>
      </w:pPr>
      <w:r>
        <w:rPr>
          <w:rFonts w:hint="eastAsia" w:ascii="仿宋_GB2312" w:hAnsi="仿宋_GB2312" w:eastAsia="仿宋_GB2312"/>
          <w:color w:val="000000"/>
          <w:sz w:val="32"/>
          <w:szCs w:val="24"/>
          <w:lang w:val="en-US" w:eastAsia="zh-CN"/>
        </w:rPr>
        <w:t>1、</w:t>
      </w:r>
      <w:r>
        <w:rPr>
          <w:rFonts w:hint="eastAsia" w:ascii="仿宋_GB2312" w:hAnsi="仿宋_GB2312" w:eastAsia="仿宋_GB2312"/>
          <w:color w:val="000000"/>
          <w:sz w:val="32"/>
          <w:szCs w:val="24"/>
          <w:lang w:eastAsia="zh-CN"/>
        </w:rPr>
        <w:t>大楼物业管理费及政务信息系统建设经费</w:t>
      </w:r>
      <w:r>
        <w:rPr>
          <w:rFonts w:hint="eastAsia" w:ascii="仿宋_GB2312" w:hAnsi="仿宋_GB2312" w:eastAsia="仿宋_GB2312"/>
          <w:color w:val="000000"/>
          <w:sz w:val="32"/>
          <w:szCs w:val="24"/>
        </w:rPr>
        <w:t>项目自评综述：根据年初设定的绩效目标，项目自评得分</w:t>
      </w:r>
      <w:r>
        <w:rPr>
          <w:rFonts w:hint="eastAsia" w:ascii="仿宋_GB2312" w:hAnsi="仿宋_GB2312" w:eastAsia="仿宋_GB2312"/>
          <w:color w:val="000000"/>
          <w:sz w:val="32"/>
          <w:szCs w:val="24"/>
          <w:lang w:val="en-US" w:eastAsia="zh-CN"/>
        </w:rPr>
        <w:t>98</w:t>
      </w:r>
      <w:r>
        <w:rPr>
          <w:rFonts w:hint="eastAsia" w:ascii="仿宋_GB2312" w:hAnsi="仿宋_GB2312" w:eastAsia="仿宋_GB2312"/>
          <w:color w:val="000000"/>
          <w:sz w:val="32"/>
          <w:szCs w:val="24"/>
        </w:rPr>
        <w:t>分。全年预算数为</w:t>
      </w:r>
      <w:r>
        <w:rPr>
          <w:rFonts w:hint="eastAsia" w:ascii="仿宋_GB2312" w:hAnsi="仿宋_GB2312" w:eastAsia="仿宋_GB2312"/>
          <w:color w:val="000000"/>
          <w:sz w:val="32"/>
          <w:szCs w:val="24"/>
          <w:lang w:val="en-US" w:eastAsia="zh-CN"/>
        </w:rPr>
        <w:t>293.07</w:t>
      </w:r>
      <w:r>
        <w:rPr>
          <w:rFonts w:hint="eastAsia" w:ascii="仿宋_GB2312" w:hAnsi="仿宋_GB2312" w:eastAsia="仿宋_GB2312"/>
          <w:color w:val="000000"/>
          <w:sz w:val="32"/>
          <w:szCs w:val="24"/>
        </w:rPr>
        <w:t>万元，执行数为</w:t>
      </w:r>
      <w:r>
        <w:rPr>
          <w:rFonts w:hint="eastAsia" w:ascii="仿宋_GB2312" w:hAnsi="仿宋_GB2312" w:eastAsia="仿宋_GB2312"/>
          <w:color w:val="000000"/>
          <w:sz w:val="32"/>
          <w:szCs w:val="24"/>
          <w:lang w:val="en-US" w:eastAsia="zh-CN"/>
        </w:rPr>
        <w:t>263.2</w:t>
      </w:r>
      <w:r>
        <w:rPr>
          <w:rFonts w:hint="eastAsia" w:ascii="仿宋_GB2312" w:hAnsi="仿宋_GB2312" w:eastAsia="仿宋_GB2312"/>
          <w:color w:val="000000"/>
          <w:sz w:val="32"/>
          <w:szCs w:val="24"/>
        </w:rPr>
        <w:t>万元，完成预算的</w:t>
      </w:r>
      <w:r>
        <w:rPr>
          <w:rFonts w:hint="eastAsia" w:ascii="仿宋_GB2312" w:hAnsi="仿宋_GB2312" w:eastAsia="仿宋_GB2312"/>
          <w:color w:val="000000"/>
          <w:sz w:val="32"/>
          <w:szCs w:val="24"/>
          <w:lang w:val="en-US" w:eastAsia="zh-CN"/>
        </w:rPr>
        <w:t>89.81</w:t>
      </w:r>
      <w:r>
        <w:rPr>
          <w:rFonts w:hint="eastAsia" w:ascii="仿宋_GB2312" w:hAnsi="仿宋_GB2312" w:eastAsia="仿宋_GB2312"/>
          <w:color w:val="000000"/>
          <w:sz w:val="32"/>
          <w:szCs w:val="24"/>
        </w:rPr>
        <w:t>%。</w:t>
      </w:r>
      <w:r>
        <w:rPr>
          <w:rFonts w:hint="eastAsia" w:ascii="仿宋_GB2312" w:hAnsi="仿宋_GB2312" w:eastAsia="仿宋_GB2312"/>
          <w:color w:val="000000"/>
          <w:sz w:val="32"/>
          <w:szCs w:val="24"/>
          <w:lang w:val="en-US" w:eastAsia="zh-CN"/>
        </w:rPr>
        <w:t xml:space="preserve">    </w:t>
      </w:r>
    </w:p>
    <w:p>
      <w:pPr>
        <w:numPr>
          <w:ilvl w:val="0"/>
          <w:numId w:val="0"/>
        </w:numPr>
        <w:spacing w:line="580" w:lineRule="exact"/>
        <w:ind w:firstLine="640" w:firstLineChars="200"/>
        <w:rPr>
          <w:rFonts w:hint="eastAsia" w:ascii="仿宋_GB2312" w:hAnsi="仿宋_GB2312" w:eastAsia="仿宋_GB2312"/>
          <w:color w:val="000000"/>
          <w:sz w:val="32"/>
          <w:szCs w:val="24"/>
        </w:rPr>
      </w:pPr>
      <w:r>
        <w:rPr>
          <w:rFonts w:hint="eastAsia" w:ascii="仿宋_GB2312" w:hAnsi="仿宋_GB2312" w:eastAsia="仿宋_GB2312"/>
          <w:color w:val="000000"/>
          <w:sz w:val="32"/>
          <w:szCs w:val="24"/>
        </w:rPr>
        <w:t>项目绩效目标完成情况：持续提升政务服务水平和办事主体便利度；整合政务服务资源和流程，尽量实现一站式办理</w:t>
      </w:r>
      <w:r>
        <w:rPr>
          <w:rFonts w:hint="eastAsia" w:ascii="仿宋_GB2312" w:hAnsi="仿宋_GB2312" w:eastAsia="仿宋_GB2312"/>
          <w:color w:val="000000"/>
          <w:sz w:val="32"/>
          <w:szCs w:val="24"/>
          <w:lang w:eastAsia="zh-CN"/>
        </w:rPr>
        <w:t>；每月按时发放劳务派遣物业人员工资；不断优化政务服务环境；通过整合各类热线到“</w:t>
      </w:r>
      <w:r>
        <w:rPr>
          <w:rFonts w:hint="eastAsia" w:ascii="仿宋_GB2312" w:hAnsi="仿宋_GB2312" w:eastAsia="仿宋_GB2312"/>
          <w:color w:val="000000"/>
          <w:sz w:val="32"/>
          <w:szCs w:val="24"/>
          <w:lang w:val="en-US" w:eastAsia="zh-CN"/>
        </w:rPr>
        <w:t>12345</w:t>
      </w:r>
      <w:r>
        <w:rPr>
          <w:rFonts w:hint="eastAsia" w:ascii="仿宋_GB2312" w:hAnsi="仿宋_GB2312" w:eastAsia="仿宋_GB2312"/>
          <w:color w:val="000000"/>
          <w:sz w:val="32"/>
          <w:szCs w:val="24"/>
          <w:lang w:eastAsia="zh-CN"/>
        </w:rPr>
        <w:t>”市民服务热线，减少中间环节，为老百姓的民生诉求打造一个快捷、高效的受理和反馈平台，办结率</w:t>
      </w:r>
      <w:r>
        <w:rPr>
          <w:rFonts w:hint="eastAsia" w:ascii="仿宋_GB2312" w:hAnsi="仿宋_GB2312" w:eastAsia="仿宋_GB2312"/>
          <w:color w:val="000000"/>
          <w:sz w:val="32"/>
          <w:szCs w:val="24"/>
          <w:lang w:val="en-US" w:eastAsia="zh-CN"/>
        </w:rPr>
        <w:t>96.9%，群众满意度大于95%</w:t>
      </w:r>
      <w:r>
        <w:rPr>
          <w:rFonts w:hint="eastAsia" w:ascii="仿宋_GB2312" w:hAnsi="仿宋_GB2312" w:eastAsia="仿宋_GB2312"/>
          <w:color w:val="000000"/>
          <w:sz w:val="32"/>
          <w:szCs w:val="24"/>
        </w:rPr>
        <w:t>。</w:t>
      </w:r>
    </w:p>
    <w:p>
      <w:pPr>
        <w:autoSpaceDE w:val="0"/>
        <w:autoSpaceDN w:val="0"/>
        <w:adjustRightInd w:val="0"/>
        <w:spacing w:line="580" w:lineRule="exact"/>
        <w:ind w:firstLine="600"/>
        <w:rPr>
          <w:rFonts w:hint="eastAsia" w:ascii="仿宋_GB2312" w:hAnsi="仿宋_GB2312" w:eastAsia="仿宋_GB2312"/>
          <w:color w:val="FF0000"/>
          <w:sz w:val="32"/>
          <w:szCs w:val="24"/>
          <w:lang w:eastAsia="zh-CN"/>
        </w:rPr>
      </w:pPr>
      <w:r>
        <w:rPr>
          <w:rFonts w:hint="eastAsia" w:ascii="仿宋_GB2312" w:hAnsi="仿宋_GB2312" w:eastAsia="仿宋_GB2312"/>
          <w:color w:val="000000"/>
          <w:sz w:val="32"/>
          <w:szCs w:val="24"/>
        </w:rPr>
        <w:t>发现的主要问题及原因：</w:t>
      </w:r>
      <w:r>
        <w:rPr>
          <w:rFonts w:hint="eastAsia" w:ascii="仿宋_GB2312" w:eastAsia="仿宋_GB2312" w:cs="仿宋_GB2312"/>
          <w:color w:val="000000"/>
          <w:sz w:val="32"/>
          <w:szCs w:val="32"/>
          <w:lang w:eastAsia="zh-CN"/>
        </w:rPr>
        <w:t>下年度安排经费预算要</w:t>
      </w:r>
      <w:r>
        <w:rPr>
          <w:rFonts w:hint="eastAsia" w:ascii="仿宋_GB2312" w:eastAsia="仿宋_GB2312" w:cs="仿宋_GB2312"/>
          <w:sz w:val="32"/>
          <w:szCs w:val="32"/>
          <w:lang w:eastAsia="zh-CN"/>
        </w:rPr>
        <w:t>考虑多方面因素，确保当年预算全部执行完成，提高项目资金使用效益。</w:t>
      </w:r>
    </w:p>
    <w:p>
      <w:pPr>
        <w:autoSpaceDE w:val="0"/>
        <w:autoSpaceDN w:val="0"/>
        <w:adjustRightInd w:val="0"/>
        <w:spacing w:line="580" w:lineRule="exact"/>
        <w:ind w:firstLine="600"/>
        <w:rPr>
          <w:rFonts w:hint="eastAsia" w:ascii="仿宋_GB2312" w:eastAsia="仿宋_GB2312" w:cs="仿宋_GB2312"/>
          <w:sz w:val="32"/>
          <w:szCs w:val="32"/>
          <w:lang w:eastAsia="zh-CN"/>
        </w:rPr>
      </w:pPr>
      <w:r>
        <w:rPr>
          <w:rFonts w:hint="eastAsia" w:ascii="仿宋_GB2312" w:hAnsi="仿宋_GB2312" w:eastAsia="仿宋_GB2312"/>
          <w:color w:val="000000"/>
          <w:sz w:val="32"/>
          <w:szCs w:val="24"/>
        </w:rPr>
        <w:t>下一步改进措施：</w:t>
      </w:r>
      <w:r>
        <w:rPr>
          <w:rFonts w:hint="eastAsia" w:ascii="仿宋_GB2312" w:eastAsia="仿宋_GB2312" w:cs="仿宋_GB2312"/>
          <w:sz w:val="32"/>
          <w:szCs w:val="32"/>
          <w:lang w:eastAsia="zh-CN"/>
        </w:rPr>
        <w:t>合理安排年度预算和项目支出需求，充分发挥资金使用效益。</w:t>
      </w:r>
    </w:p>
    <w:p>
      <w:pPr>
        <w:spacing w:line="580" w:lineRule="exact"/>
        <w:ind w:firstLine="960" w:firstLineChars="300"/>
        <w:rPr>
          <w:rFonts w:hint="eastAsia" w:ascii="仿宋_GB2312" w:hAnsi="仿宋_GB2312" w:eastAsia="仿宋_GB2312"/>
          <w:color w:val="auto"/>
          <w:sz w:val="32"/>
          <w:szCs w:val="24"/>
        </w:rPr>
      </w:pPr>
      <w:r>
        <w:rPr>
          <w:rFonts w:hint="eastAsia" w:ascii="仿宋_GB2312" w:hAnsi="仿宋_GB2312" w:eastAsia="仿宋_GB2312"/>
          <w:color w:val="auto"/>
          <w:sz w:val="32"/>
          <w:szCs w:val="24"/>
        </w:rPr>
        <w:t>项目支出绩效自评表</w:t>
      </w:r>
      <w:r>
        <w:rPr>
          <w:rFonts w:hint="eastAsia" w:ascii="仿宋_GB2312" w:hAnsi="仿宋_GB2312" w:eastAsia="仿宋_GB2312"/>
          <w:color w:val="auto"/>
          <w:sz w:val="32"/>
          <w:szCs w:val="24"/>
          <w:lang w:eastAsia="zh-CN"/>
        </w:rPr>
        <w:t>见下页</w:t>
      </w:r>
      <w:r>
        <w:rPr>
          <w:rFonts w:hint="eastAsia" w:ascii="仿宋_GB2312" w:hAnsi="仿宋_GB2312" w:eastAsia="仿宋_GB2312"/>
          <w:color w:val="auto"/>
          <w:sz w:val="32"/>
          <w:szCs w:val="24"/>
        </w:rPr>
        <w:t>。</w:t>
      </w:r>
    </w:p>
    <w:p>
      <w:pPr>
        <w:spacing w:line="580" w:lineRule="exact"/>
        <w:ind w:firstLine="960" w:firstLineChars="300"/>
        <w:rPr>
          <w:rFonts w:hint="eastAsia" w:ascii="仿宋_GB2312" w:hAnsi="仿宋_GB2312" w:eastAsia="仿宋_GB2312"/>
          <w:color w:val="auto"/>
          <w:sz w:val="32"/>
          <w:szCs w:val="24"/>
        </w:rPr>
      </w:pPr>
    </w:p>
    <w:p>
      <w:pPr>
        <w:spacing w:line="580" w:lineRule="exact"/>
        <w:ind w:firstLine="960" w:firstLineChars="300"/>
        <w:rPr>
          <w:rFonts w:hint="eastAsia" w:ascii="仿宋_GB2312" w:hAnsi="仿宋_GB2312" w:eastAsia="仿宋_GB2312"/>
          <w:color w:val="auto"/>
          <w:sz w:val="32"/>
          <w:szCs w:val="24"/>
        </w:rPr>
      </w:pPr>
    </w:p>
    <w:p>
      <w:pPr>
        <w:spacing w:line="580" w:lineRule="exact"/>
        <w:ind w:firstLine="600"/>
        <w:rPr>
          <w:rFonts w:hint="eastAsia"/>
          <w:color w:val="auto"/>
          <w:sz w:val="32"/>
          <w:szCs w:val="24"/>
        </w:rPr>
      </w:pPr>
    </w:p>
    <w:p>
      <w:pPr>
        <w:spacing w:line="580" w:lineRule="exact"/>
        <w:ind w:firstLine="600"/>
        <w:rPr>
          <w:rFonts w:hint="eastAsia"/>
          <w:color w:val="auto"/>
          <w:sz w:val="32"/>
          <w:szCs w:val="24"/>
        </w:rPr>
      </w:pPr>
    </w:p>
    <w:p>
      <w:pPr>
        <w:spacing w:line="580" w:lineRule="exact"/>
        <w:ind w:firstLine="600"/>
        <w:rPr>
          <w:rFonts w:hint="eastAsia"/>
          <w:color w:val="auto"/>
          <w:sz w:val="32"/>
          <w:szCs w:val="24"/>
        </w:rPr>
      </w:pPr>
    </w:p>
    <w:p>
      <w:pPr>
        <w:spacing w:line="580" w:lineRule="exact"/>
        <w:ind w:firstLine="600"/>
        <w:rPr>
          <w:rFonts w:hint="eastAsia"/>
          <w:color w:val="auto"/>
          <w:sz w:val="32"/>
          <w:szCs w:val="24"/>
        </w:rPr>
      </w:pPr>
    </w:p>
    <w:p>
      <w:pPr>
        <w:spacing w:line="580" w:lineRule="exact"/>
        <w:ind w:firstLine="600"/>
        <w:rPr>
          <w:rFonts w:hint="eastAsia"/>
          <w:color w:val="auto"/>
          <w:sz w:val="32"/>
          <w:szCs w:val="24"/>
        </w:rPr>
      </w:pPr>
    </w:p>
    <w:p>
      <w:pPr>
        <w:spacing w:line="580" w:lineRule="exact"/>
        <w:ind w:firstLine="600"/>
        <w:rPr>
          <w:rFonts w:hint="eastAsia"/>
          <w:color w:val="auto"/>
          <w:sz w:val="32"/>
          <w:szCs w:val="24"/>
        </w:rPr>
      </w:pPr>
    </w:p>
    <w:p>
      <w:pPr>
        <w:spacing w:line="580" w:lineRule="exact"/>
        <w:ind w:firstLine="600"/>
        <w:rPr>
          <w:rFonts w:hint="eastAsia"/>
          <w:color w:val="auto"/>
          <w:sz w:val="32"/>
          <w:szCs w:val="24"/>
        </w:rPr>
      </w:pPr>
    </w:p>
    <w:p>
      <w:pPr>
        <w:spacing w:line="580" w:lineRule="exact"/>
        <w:ind w:firstLine="600"/>
        <w:rPr>
          <w:rFonts w:hint="eastAsia"/>
          <w:color w:val="auto"/>
          <w:sz w:val="32"/>
          <w:szCs w:val="24"/>
        </w:rPr>
      </w:pPr>
    </w:p>
    <w:p>
      <w:pPr>
        <w:spacing w:line="580" w:lineRule="exact"/>
        <w:ind w:firstLine="600"/>
        <w:rPr>
          <w:rFonts w:hint="eastAsia"/>
          <w:color w:val="auto"/>
          <w:sz w:val="32"/>
          <w:szCs w:val="24"/>
        </w:rPr>
      </w:pPr>
    </w:p>
    <w:p>
      <w:pPr>
        <w:autoSpaceDE w:val="0"/>
        <w:autoSpaceDN w:val="0"/>
        <w:adjustRightInd w:val="0"/>
        <w:spacing w:line="580" w:lineRule="exact"/>
        <w:rPr>
          <w:rFonts w:hint="eastAsia" w:ascii="仿宋_GB2312" w:eastAsia="仿宋_GB2312" w:cs="仿宋_GB2312"/>
          <w:sz w:val="32"/>
          <w:szCs w:val="32"/>
          <w:lang w:eastAsia="zh-CN"/>
        </w:rPr>
      </w:pPr>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4"/>
        <w:gridCol w:w="984"/>
        <w:gridCol w:w="984"/>
        <w:gridCol w:w="984"/>
        <w:gridCol w:w="984"/>
        <w:gridCol w:w="984"/>
        <w:gridCol w:w="984"/>
        <w:gridCol w:w="984"/>
        <w:gridCol w:w="98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56" w:type="dxa"/>
            <w:gridSpan w:val="9"/>
            <w:tcBorders>
              <w:top w:val="nil"/>
              <w:left w:val="nil"/>
              <w:bottom w:val="nil"/>
              <w:right w:val="nil"/>
              <w:tl2br w:val="nil"/>
              <w:tr2bl w:val="nil"/>
            </w:tcBorders>
            <w:noWrap w:val="0"/>
            <w:vAlign w:val="top"/>
          </w:tcPr>
          <w:p>
            <w:pPr>
              <w:jc w:val="left"/>
              <w:rPr>
                <w:rFonts w:hint="eastAsia" w:eastAsia="宋体"/>
                <w:color w:val="auto"/>
                <w:sz w:val="15"/>
                <w:szCs w:val="15"/>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项目支出绩效自评表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56" w:type="dxa"/>
            <w:gridSpan w:val="9"/>
            <w:tcBorders>
              <w:top w:val="nil"/>
              <w:left w:val="nil"/>
              <w:bottom w:val="single" w:color="auto" w:sz="6" w:space="0"/>
              <w:right w:val="nil"/>
              <w:tl2br w:val="nil"/>
              <w:tr2bl w:val="nil"/>
            </w:tcBorders>
            <w:noWrap w:val="0"/>
            <w:vAlign w:val="top"/>
          </w:tcPr>
          <w:p>
            <w:pPr>
              <w:jc w:val="left"/>
              <w:rPr>
                <w:rFonts w:hint="eastAsia" w:eastAsia="宋体"/>
                <w:color w:val="auto"/>
                <w:sz w:val="15"/>
                <w:szCs w:val="15"/>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 2020 年度）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项目名称</w:t>
            </w:r>
          </w:p>
        </w:tc>
        <w:tc>
          <w:tcPr>
            <w:tcW w:w="2952" w:type="dxa"/>
            <w:gridSpan w:val="3"/>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大楼物业管理费及政务信息系统建设经费</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项目负责人及电话</w:t>
            </w:r>
          </w:p>
        </w:tc>
        <w:tc>
          <w:tcPr>
            <w:tcW w:w="2952" w:type="dxa"/>
            <w:gridSpan w:val="3"/>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eastAsia="zh-CN"/>
              </w:rPr>
            </w:pPr>
            <w:r>
              <w:rPr>
                <w:rFonts w:hint="eastAsia" w:eastAsia="宋体"/>
                <w:color w:val="auto"/>
                <w:sz w:val="15"/>
                <w:szCs w:val="15"/>
                <w:lang w:eastAsia="zh-CN"/>
              </w:rPr>
              <w:t>石碏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主管部门</w:t>
            </w:r>
          </w:p>
        </w:tc>
        <w:tc>
          <w:tcPr>
            <w:tcW w:w="2952" w:type="dxa"/>
            <w:gridSpan w:val="3"/>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eastAsia="zh-CN"/>
              </w:rPr>
            </w:pPr>
            <w:r>
              <w:rPr>
                <w:rFonts w:hint="eastAsia" w:eastAsia="宋体"/>
                <w:color w:val="auto"/>
                <w:sz w:val="15"/>
                <w:szCs w:val="15"/>
                <w:lang w:eastAsia="zh-CN"/>
              </w:rPr>
              <w:t>磴口县政务服务局</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实施单位</w:t>
            </w:r>
          </w:p>
        </w:tc>
        <w:tc>
          <w:tcPr>
            <w:tcW w:w="2952" w:type="dxa"/>
            <w:gridSpan w:val="3"/>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lang w:eastAsia="zh-CN"/>
              </w:rPr>
              <w:t>磴口县政务服务局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项目预算执行情况</w:t>
            </w:r>
            <w:r>
              <w:rPr>
                <w:rFonts w:hint="eastAsia" w:eastAsia="宋体"/>
                <w:b/>
                <w:color w:val="000000"/>
                <w:kern w:val="0"/>
                <w:sz w:val="15"/>
                <w:szCs w:val="15"/>
                <w14:shadow w14:blurRad="50800" w14:dist="38100" w14:dir="2700000" w14:sx="100000" w14:sy="100000" w14:kx="0" w14:ky="0" w14:algn="tl">
                  <w14:srgbClr w14:val="000000">
                    <w14:alpha w14:val="60000"/>
                  </w14:srgbClr>
                </w14:shadow>
              </w:rPr>
              <w:t xml:space="preserve"> </w:t>
            </w: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（万元）</w:t>
            </w:r>
          </w:p>
        </w:tc>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全年预算数（A）</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全年执行数（B）</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分值</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执行率（B/A)</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年度资金总额：</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293.07</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263.2</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lang w:val="en-US" w:eastAsia="zh-CN"/>
                <w14:shadow w14:blurRad="50800" w14:dist="38100" w14:dir="2700000" w14:sx="100000" w14:sy="100000" w14:kx="0" w14:ky="0" w14:algn="tl">
                  <w14:srgbClr w14:val="000000">
                    <w14:alpha w14:val="60000"/>
                  </w14:srgbClr>
                </w14:shadow>
              </w:rPr>
            </w:pPr>
            <w:r>
              <w:rPr>
                <w:rFonts w:hint="eastAsia" w:eastAsia="宋体"/>
                <w:b/>
                <w:color w:val="000000"/>
                <w:kern w:val="0"/>
                <w:sz w:val="15"/>
                <w:szCs w:val="15"/>
                <w:lang w:val="en-US" w:eastAsia="zh-CN"/>
                <w14:shadow w14:blurRad="50800" w14:dist="38100" w14:dir="2700000" w14:sx="100000" w14:sy="100000" w14:kx="0" w14:ky="0" w14:algn="tl">
                  <w14:srgbClr w14:val="000000">
                    <w14:alpha w14:val="60000"/>
                  </w14:srgbClr>
                </w14:shadow>
              </w:rPr>
              <w:t>89.81%</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其中：财政拨款</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293.07</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263.2</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eastAsia="宋体"/>
                <w:b/>
                <w:color w:val="000000"/>
                <w:kern w:val="0"/>
                <w:sz w:val="15"/>
                <w:szCs w:val="15"/>
                <w14:shadow w14:blurRad="50800" w14:dist="38100" w14:dir="2700000" w14:sx="100000" w14:sy="100000" w14:kx="0" w14:ky="0" w14:algn="tl">
                  <w14:srgbClr w14:val="000000">
                    <w14:alpha w14:val="60000"/>
                  </w14:srgbClr>
                </w14:shadow>
              </w:rPr>
              <w:t>-</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lang w:val="en-US" w:eastAsia="zh-CN"/>
                <w14:shadow w14:blurRad="50800" w14:dist="38100" w14:dir="2700000" w14:sx="100000" w14:sy="100000" w14:kx="0" w14:ky="0" w14:algn="tl">
                  <w14:srgbClr w14:val="000000">
                    <w14:alpha w14:val="60000"/>
                  </w14:srgbClr>
                </w14:shadow>
              </w:rPr>
            </w:pPr>
            <w:r>
              <w:rPr>
                <w:rFonts w:hint="eastAsia" w:eastAsia="宋体"/>
                <w:b/>
                <w:color w:val="000000"/>
                <w:kern w:val="0"/>
                <w:sz w:val="15"/>
                <w:szCs w:val="15"/>
                <w:lang w:val="en-US" w:eastAsia="zh-CN"/>
                <w14:shadow w14:blurRad="50800" w14:dist="38100" w14:dir="2700000" w14:sx="100000" w14:sy="100000" w14:kx="0" w14:ky="0" w14:algn="tl">
                  <w14:srgbClr w14:val="000000">
                    <w14:alpha w14:val="60000"/>
                  </w14:srgbClr>
                </w14:shadow>
              </w:rPr>
              <w:t>89.81%</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eastAsia="宋体"/>
                <w:b/>
                <w:color w:val="000000"/>
                <w:kern w:val="0"/>
                <w:sz w:val="15"/>
                <w:szCs w:val="15"/>
                <w14:shadow w14:blurRad="50800" w14:dist="38100" w14:dir="2700000" w14:sx="100000" w14:sy="100000" w14:kx="0" w14:ky="0" w14:algn="tl">
                  <w14:srgbClr w14:val="000000">
                    <w14:alpha w14:val="60000"/>
                  </w14:srgbClr>
                </w14:shadow>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其他资金</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eastAsia="宋体"/>
                <w:b/>
                <w:color w:val="000000"/>
                <w:kern w:val="0"/>
                <w:sz w:val="15"/>
                <w:szCs w:val="15"/>
                <w14:shadow w14:blurRad="50800" w14:dist="38100" w14:dir="2700000" w14:sx="100000" w14:sy="100000" w14:kx="0" w14:ky="0" w14:algn="tl">
                  <w14:srgbClr w14:val="000000">
                    <w14:alpha w14:val="60000"/>
                  </w14:srgbClr>
                </w14:shadow>
              </w:rPr>
              <w:t>-</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eastAsia="宋体"/>
                <w:b/>
                <w:color w:val="000000"/>
                <w:kern w:val="0"/>
                <w:sz w:val="15"/>
                <w:szCs w:val="15"/>
                <w14:shadow w14:blurRad="50800" w14:dist="38100" w14:dir="2700000" w14:sx="100000" w14:sy="100000" w14:kx="0" w14:ky="0" w14:algn="tl">
                  <w14:srgbClr w14:val="000000">
                    <w14:alpha w14:val="60000"/>
                  </w14:srgbClr>
                </w14:shadow>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年度总体目标完成情况</w:t>
            </w:r>
          </w:p>
        </w:tc>
        <w:tc>
          <w:tcPr>
            <w:tcW w:w="3936" w:type="dxa"/>
            <w:gridSpan w:val="4"/>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预期目标</w:t>
            </w:r>
          </w:p>
        </w:tc>
        <w:tc>
          <w:tcPr>
            <w:tcW w:w="3936" w:type="dxa"/>
            <w:gridSpan w:val="4"/>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目标实际完成情况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3936" w:type="dxa"/>
            <w:gridSpan w:val="4"/>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3936" w:type="dxa"/>
            <w:gridSpan w:val="4"/>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绩效指标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一级指标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二级指标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三级指标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分值</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预期指标值</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实际完成指标值</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得分</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未完成原因及拟采取的改进措施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restart"/>
            <w:tcBorders>
              <w:top w:val="single" w:color="auto" w:sz="6" w:space="0"/>
              <w:left w:val="single" w:color="auto" w:sz="6" w:space="0"/>
              <w:bottom w:val="nil"/>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产出指标</w:t>
            </w:r>
            <w:r>
              <w:rPr>
                <w:rFonts w:hint="eastAsia" w:eastAsia="宋体"/>
                <w:b/>
                <w:color w:val="000000"/>
                <w:kern w:val="0"/>
                <w:sz w:val="15"/>
                <w:szCs w:val="15"/>
                <w14:shadow w14:blurRad="50800" w14:dist="38100" w14:dir="2700000" w14:sx="100000" w14:sy="100000" w14:kx="0" w14:ky="0" w14:algn="tl">
                  <w14:srgbClr w14:val="000000">
                    <w14:alpha w14:val="60000"/>
                  </w14:srgbClr>
                </w14:shadow>
              </w:rPr>
              <w:t xml:space="preserve"> </w:t>
            </w: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(50分)</w:t>
            </w:r>
          </w:p>
        </w:tc>
        <w:tc>
          <w:tcPr>
            <w:tcW w:w="984" w:type="dxa"/>
            <w:vMerge w:val="restart"/>
            <w:tcBorders>
              <w:top w:val="single" w:color="auto" w:sz="6" w:space="0"/>
              <w:left w:val="single" w:color="auto" w:sz="6" w:space="0"/>
              <w:bottom w:val="nil"/>
              <w:right w:val="single" w:color="auto" w:sz="6" w:space="0"/>
              <w:tl2br w:val="nil"/>
              <w:tr2bl w:val="nil"/>
            </w:tcBorders>
            <w:noWrap w:val="0"/>
            <w:vAlign w:val="top"/>
          </w:tcPr>
          <w:p>
            <w:pPr>
              <w:jc w:val="left"/>
              <w:rPr>
                <w:rFonts w:hint="eastAsia" w:eastAsia="宋体"/>
                <w:color w:val="auto"/>
                <w:sz w:val="15"/>
                <w:szCs w:val="15"/>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数量指标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eastAsia="zh-CN"/>
              </w:rPr>
            </w:pPr>
            <w:r>
              <w:rPr>
                <w:rFonts w:hint="eastAsia" w:eastAsia="宋体"/>
                <w:color w:val="auto"/>
                <w:sz w:val="15"/>
                <w:szCs w:val="15"/>
                <w:lang w:eastAsia="zh-CN"/>
              </w:rPr>
              <w:t>劳务派遣物业人员</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10名</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10名</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nil"/>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抓好政府服务热线服务，转办群众来电</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w:t>
            </w:r>
            <w:r>
              <w:rPr>
                <w:rFonts w:hint="eastAsia" w:eastAsia="宋体"/>
                <w:color w:val="auto"/>
                <w:sz w:val="15"/>
                <w:szCs w:val="15"/>
                <w:lang w:val="en-US" w:eastAsia="zh-CN"/>
              </w:rPr>
              <w:t>3</w:t>
            </w:r>
            <w:r>
              <w:rPr>
                <w:rFonts w:hint="eastAsia" w:eastAsia="宋体"/>
                <w:color w:val="auto"/>
                <w:sz w:val="15"/>
                <w:szCs w:val="15"/>
              </w:rPr>
              <w:t>00件</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385件</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6" w:hRule="atLeast"/>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nil"/>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restart"/>
            <w:tcBorders>
              <w:top w:val="single" w:color="auto" w:sz="6" w:space="0"/>
              <w:left w:val="single" w:color="auto" w:sz="6" w:space="0"/>
              <w:bottom w:val="nil"/>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质量指标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实现网上受理、审批、公示、查询、投诉等功能</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lang w:val="en-US" w:eastAsia="zh-CN"/>
              </w:rPr>
              <w:t>100%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nil"/>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提供优质政务办事服务</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≥95%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≥95%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nil"/>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时效指标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财政资金下拨及时率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nil"/>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年度各项工作任务完成及时率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成本指标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年度预算资金总数</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293.07万元</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lang w:val="en-US" w:eastAsia="zh-CN"/>
              </w:rPr>
              <w:t>263.2万元</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8</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restart"/>
            <w:tcBorders>
              <w:top w:val="single" w:color="auto" w:sz="6" w:space="0"/>
              <w:left w:val="single" w:color="auto" w:sz="6" w:space="0"/>
              <w:bottom w:val="nil"/>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(30分)</w:t>
            </w:r>
            <w:r>
              <w:rPr>
                <w:rFonts w:hint="eastAsia" w:eastAsia="宋体"/>
                <w:b/>
                <w:color w:val="000000"/>
                <w:kern w:val="0"/>
                <w:sz w:val="15"/>
                <w:szCs w:val="15"/>
                <w14:shadow w14:blurRad="50800" w14:dist="38100" w14:dir="2700000" w14:sx="100000" w14:sy="100000" w14:kx="0" w14:ky="0" w14:algn="tl">
                  <w14:srgbClr w14:val="000000">
                    <w14:alpha w14:val="60000"/>
                  </w14:srgbClr>
                </w14:shadow>
              </w:rPr>
              <w:t xml:space="preserve"> </w:t>
            </w: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效益指标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经济效益指标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nil"/>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restart"/>
            <w:tcBorders>
              <w:top w:val="single" w:color="auto" w:sz="6" w:space="0"/>
              <w:left w:val="single" w:color="auto" w:sz="6" w:space="0"/>
              <w:bottom w:val="nil"/>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社会效益指标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持续提升政务服务水平和办事主体便利度</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eastAsia="zh-CN"/>
              </w:rPr>
            </w:pPr>
            <w:r>
              <w:rPr>
                <w:rFonts w:hint="eastAsia" w:eastAsia="宋体"/>
                <w:color w:val="auto"/>
                <w:sz w:val="15"/>
                <w:szCs w:val="15"/>
                <w:lang w:eastAsia="zh-CN"/>
              </w:rPr>
              <w:t>提升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lang w:eastAsia="zh-CN"/>
              </w:rPr>
              <w:t>提升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nil"/>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single" w:color="auto" w:sz="6" w:space="0"/>
              <w:right w:val="single" w:color="auto" w:sz="6" w:space="0"/>
              <w:tl2br w:val="nil"/>
              <w:tr2bl w:val="nil"/>
            </w:tcBorders>
            <w:noWrap w:val="0"/>
            <w:vAlign w:val="top"/>
          </w:tcPr>
          <w:p>
            <w:pPr>
              <w:jc w:val="left"/>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eastAsia="zh-CN"/>
              </w:rPr>
            </w:pPr>
            <w:r>
              <w:rPr>
                <w:rFonts w:hint="eastAsia" w:eastAsia="宋体"/>
                <w:color w:val="auto"/>
                <w:sz w:val="15"/>
                <w:szCs w:val="15"/>
                <w:lang w:eastAsia="zh-CN"/>
              </w:rPr>
              <w:t>优化政务服务环境</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eastAsia="zh-CN"/>
              </w:rPr>
            </w:pPr>
            <w:r>
              <w:rPr>
                <w:rFonts w:hint="eastAsia" w:eastAsia="宋体"/>
                <w:color w:val="auto"/>
                <w:sz w:val="15"/>
                <w:szCs w:val="15"/>
                <w:lang w:eastAsia="zh-CN"/>
              </w:rPr>
              <w:t>优化</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eastAsia="zh-CN"/>
              </w:rPr>
            </w:pPr>
            <w:r>
              <w:rPr>
                <w:rFonts w:hint="eastAsia" w:eastAsia="宋体"/>
                <w:color w:val="auto"/>
                <w:sz w:val="15"/>
                <w:szCs w:val="15"/>
                <w:lang w:eastAsia="zh-CN"/>
              </w:rPr>
              <w:t>优化</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nil"/>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生态效益指标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nil"/>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restart"/>
            <w:tcBorders>
              <w:top w:val="single" w:color="auto" w:sz="6" w:space="0"/>
              <w:left w:val="single" w:color="auto" w:sz="6" w:space="0"/>
              <w:bottom w:val="nil"/>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可持续影响指标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长期为方便群众提供优质服务</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eastAsia="zh-CN"/>
              </w:rPr>
            </w:pPr>
            <w:r>
              <w:rPr>
                <w:rFonts w:hint="eastAsia" w:eastAsia="宋体"/>
                <w:color w:val="auto"/>
                <w:sz w:val="15"/>
                <w:szCs w:val="15"/>
                <w:lang w:eastAsia="zh-CN"/>
              </w:rPr>
              <w:t>优化</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lang w:eastAsia="zh-CN"/>
              </w:rPr>
              <w:t>优化</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vMerge w:val="continue"/>
            <w:tcBorders>
              <w:top w:val="nil"/>
              <w:left w:val="single" w:color="auto" w:sz="6" w:space="0"/>
              <w:bottom w:val="single" w:color="auto" w:sz="6" w:space="0"/>
              <w:right w:val="single" w:color="auto" w:sz="6" w:space="0"/>
              <w:tl2br w:val="nil"/>
              <w:tr2bl w:val="nil"/>
            </w:tcBorders>
            <w:noWrap w:val="0"/>
            <w:vAlign w:val="top"/>
          </w:tcPr>
          <w:p>
            <w:pPr>
              <w:jc w:val="left"/>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pPr>
          </w:p>
        </w:tc>
        <w:tc>
          <w:tcPr>
            <w:tcW w:w="984" w:type="dxa"/>
            <w:vMerge w:val="continue"/>
            <w:tcBorders>
              <w:top w:val="nil"/>
              <w:left w:val="single" w:color="auto" w:sz="6" w:space="0"/>
              <w:bottom w:val="single" w:color="auto" w:sz="6" w:space="0"/>
              <w:right w:val="single" w:color="auto" w:sz="6" w:space="0"/>
              <w:tl2br w:val="nil"/>
              <w:tr2bl w:val="nil"/>
            </w:tcBorders>
            <w:noWrap w:val="0"/>
            <w:vAlign w:val="top"/>
          </w:tcPr>
          <w:p>
            <w:pPr>
              <w:jc w:val="left"/>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电子政务通过网络技术和通信技术等应用可以让群众随时随地接受政务服务</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eastAsia="zh-CN"/>
              </w:rPr>
            </w:pPr>
            <w:r>
              <w:rPr>
                <w:rFonts w:hint="eastAsia" w:eastAsia="宋体"/>
                <w:color w:val="auto"/>
                <w:sz w:val="15"/>
                <w:szCs w:val="15"/>
                <w:lang w:eastAsia="zh-CN"/>
              </w:rPr>
              <w:t>提升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eastAsia="zh-CN"/>
              </w:rPr>
            </w:pPr>
            <w:r>
              <w:rPr>
                <w:rFonts w:hint="eastAsia" w:eastAsia="宋体"/>
                <w:color w:val="auto"/>
                <w:sz w:val="15"/>
                <w:szCs w:val="15"/>
                <w:lang w:eastAsia="zh-CN"/>
              </w:rPr>
              <w:t>提升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满意度指标(10分)</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服务对象满意度指标</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rPr>
              <w:t>服务群众满意度</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eastAsia="zh-CN"/>
              </w:rPr>
              <w:t>≥</w:t>
            </w:r>
            <w:r>
              <w:rPr>
                <w:rFonts w:hint="eastAsia" w:eastAsia="宋体"/>
                <w:color w:val="auto"/>
                <w:sz w:val="15"/>
                <w:szCs w:val="15"/>
                <w:lang w:val="en-US" w:eastAsia="zh-CN"/>
              </w:rPr>
              <w:t>95%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eastAsia="宋体"/>
                <w:color w:val="auto"/>
                <w:sz w:val="15"/>
                <w:szCs w:val="15"/>
                <w:lang w:eastAsia="zh-CN"/>
              </w:rPr>
              <w:t>≥</w:t>
            </w:r>
            <w:r>
              <w:rPr>
                <w:rFonts w:hint="eastAsia" w:eastAsia="宋体"/>
                <w:color w:val="auto"/>
                <w:sz w:val="15"/>
                <w:szCs w:val="15"/>
                <w:lang w:val="en-US" w:eastAsia="zh-CN"/>
              </w:rPr>
              <w:t>95%</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10</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936" w:type="dxa"/>
            <w:gridSpan w:val="4"/>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b/>
                <w:color w:val="000000"/>
                <w:kern w:val="0"/>
                <w:sz w:val="15"/>
                <w:szCs w:val="15"/>
                <w14:shadow w14:blurRad="50800" w14:dist="38100" w14:dir="2700000" w14:sx="100000" w14:sy="100000" w14:kx="0" w14:ky="0" w14:algn="tl">
                  <w14:srgbClr w14:val="000000">
                    <w14:alpha w14:val="60000"/>
                  </w14:srgbClr>
                </w14:shadow>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总分</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r>
              <w:rPr>
                <w:rFonts w:hint="eastAsia" w:ascii="宋体" w:hAnsi="宋体" w:eastAsia="宋体"/>
                <w:b/>
                <w:color w:val="000000"/>
                <w:kern w:val="0"/>
                <w:sz w:val="15"/>
                <w:szCs w:val="15"/>
                <w14:shadow w14:blurRad="50800" w14:dist="38100" w14:dir="2700000" w14:sx="100000" w14:sy="100000" w14:kx="0" w14:ky="0" w14:algn="tl">
                  <w14:srgbClr w14:val="000000">
                    <w14:alpha w14:val="60000"/>
                  </w14:srgbClr>
                </w14:shadow>
              </w:rPr>
              <w:t>100</w:t>
            </w:r>
          </w:p>
        </w:tc>
        <w:tc>
          <w:tcPr>
            <w:tcW w:w="1968" w:type="dxa"/>
            <w:gridSpan w:val="2"/>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lang w:val="en-US" w:eastAsia="zh-CN"/>
              </w:rPr>
            </w:pPr>
            <w:r>
              <w:rPr>
                <w:rFonts w:hint="eastAsia" w:eastAsia="宋体"/>
                <w:color w:val="auto"/>
                <w:sz w:val="15"/>
                <w:szCs w:val="15"/>
                <w:lang w:val="en-US" w:eastAsia="zh-CN"/>
              </w:rPr>
              <w:t>98</w:t>
            </w:r>
          </w:p>
        </w:tc>
        <w:tc>
          <w:tcPr>
            <w:tcW w:w="984" w:type="dxa"/>
            <w:tcBorders>
              <w:top w:val="single" w:color="auto" w:sz="6" w:space="0"/>
              <w:left w:val="single" w:color="auto" w:sz="6" w:space="0"/>
              <w:bottom w:val="single" w:color="auto" w:sz="6" w:space="0"/>
              <w:right w:val="single" w:color="auto" w:sz="6" w:space="0"/>
              <w:tl2br w:val="nil"/>
              <w:tr2bl w:val="nil"/>
            </w:tcBorders>
            <w:noWrap w:val="0"/>
            <w:vAlign w:val="top"/>
          </w:tcPr>
          <w:p>
            <w:pPr>
              <w:jc w:val="left"/>
              <w:rPr>
                <w:rFonts w:hint="eastAsia" w:eastAsia="宋体"/>
                <w:color w:val="auto"/>
                <w:sz w:val="15"/>
                <w:szCs w:val="15"/>
              </w:rPr>
            </w:pPr>
          </w:p>
        </w:tc>
      </w:tr>
    </w:tbl>
    <w:p>
      <w:pPr>
        <w:spacing w:line="580" w:lineRule="exact"/>
        <w:rPr>
          <w:rFonts w:hint="eastAsia" w:ascii="仿宋_GB2312" w:hAnsi="仿宋_GB2312" w:eastAsia="仿宋_GB2312"/>
          <w:b/>
          <w:color w:val="000000"/>
          <w:sz w:val="15"/>
          <w:szCs w:val="15"/>
        </w:rPr>
      </w:pPr>
    </w:p>
    <w:p>
      <w:pPr>
        <w:spacing w:line="580" w:lineRule="exact"/>
        <w:ind w:firstLine="600"/>
        <w:rPr>
          <w:rFonts w:hint="eastAsia" w:ascii="仿宋_GB2312" w:hAnsi="仿宋_GB2312" w:eastAsia="仿宋_GB2312"/>
          <w:b/>
          <w:color w:val="FF0000"/>
          <w:sz w:val="32"/>
          <w:szCs w:val="24"/>
        </w:rPr>
      </w:pPr>
      <w:r>
        <w:rPr>
          <w:rFonts w:hint="eastAsia" w:ascii="仿宋_GB2312" w:hAnsi="仿宋_GB2312" w:eastAsia="仿宋_GB2312"/>
          <w:b/>
          <w:color w:val="000000"/>
          <w:sz w:val="32"/>
          <w:szCs w:val="24"/>
        </w:rPr>
        <w:t>（三）部门评价项目绩效评价结果。</w:t>
      </w:r>
    </w:p>
    <w:p>
      <w:pPr>
        <w:widowControl w:val="0"/>
        <w:spacing w:line="600" w:lineRule="exact"/>
        <w:ind w:firstLine="640" w:firstLineChars="200"/>
        <w:rPr>
          <w:rFonts w:hint="eastAsia" w:ascii="仿宋" w:hAnsi="仿宋" w:eastAsia="仿宋" w:cs="仿宋"/>
          <w:color w:val="000000"/>
          <w:sz w:val="32"/>
          <w:szCs w:val="32"/>
        </w:rPr>
      </w:pPr>
      <w:r>
        <w:rPr>
          <w:rFonts w:hint="eastAsia" w:ascii="仿宋_GB2312" w:hAnsi="仿宋_GB2312" w:eastAsia="仿宋_GB2312"/>
          <w:color w:val="000000"/>
          <w:sz w:val="32"/>
          <w:szCs w:val="24"/>
          <w:lang w:eastAsia="zh-CN"/>
        </w:rPr>
        <w:t>大楼物业管理费及政务信息系统建设经费</w:t>
      </w:r>
      <w:r>
        <w:rPr>
          <w:rFonts w:hint="eastAsia" w:ascii="仿宋" w:hAnsi="仿宋" w:eastAsia="仿宋" w:cs="仿宋"/>
          <w:color w:val="000000"/>
          <w:sz w:val="32"/>
          <w:szCs w:val="32"/>
        </w:rPr>
        <w:t>项目绩效评价综合得分为98.</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分，绩效评价结果为“优”。重点项目绩效评价得分情况详见</w:t>
      </w:r>
      <w:r>
        <w:rPr>
          <w:rFonts w:hint="eastAsia" w:ascii="仿宋" w:hAnsi="仿宋" w:eastAsia="仿宋" w:cs="仿宋"/>
          <w:color w:val="000000"/>
          <w:sz w:val="32"/>
          <w:szCs w:val="32"/>
          <w:lang w:eastAsia="zh-CN"/>
        </w:rPr>
        <w:t>项目支出绩效自评表</w:t>
      </w:r>
      <w:r>
        <w:rPr>
          <w:rFonts w:hint="eastAsia" w:ascii="仿宋" w:hAnsi="仿宋" w:eastAsia="仿宋" w:cs="仿宋"/>
          <w:color w:val="000000"/>
          <w:sz w:val="32"/>
          <w:szCs w:val="32"/>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BB4618"/>
    <w:rsid w:val="14BB4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uiPriority w:val="0"/>
    <w:pPr>
      <w:jc w:val="both"/>
    </w:pPr>
    <w:rPr>
      <w:rFonts w:hint="eastAsia" w:ascii="Times New Roman" w:hAnsi="Times New Roman" w:eastAsia="Times New Roman" w:cs="Times New Roman"/>
      <w:kern w:val="2"/>
      <w:sz w:val="21"/>
      <w:szCs w:val="24"/>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2021-10-26T09:08:00Z</dcterms:created>
  <dc:creator>Administrator</dc:creator>
  <cp:lastModifiedBy>Administrator</cp:lastModifiedBy>
  <dcterms:modified xsi:type="dcterms:W3CDTF">2021-10-26T09:09:26Z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371C46F82DD34FBE9224A2DC4E5C17A4</vt:lpwstr>
  </property>
</Properties>
</file>