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3"/>
        <w:gridCol w:w="4877"/>
        <w:gridCol w:w="2745"/>
        <w:gridCol w:w="160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2330" w:type="dxa"/>
            <w:gridSpan w:val="5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bookmarkStart w:id="0" w:name="_GoBack"/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aps w:val="0"/>
                <w:color w:val="535353"/>
                <w:spacing w:val="0"/>
                <w:sz w:val="43"/>
                <w:szCs w:val="43"/>
                <w:bdr w:val="none" w:color="auto" w:sz="0" w:space="0"/>
              </w:rPr>
              <w:t>2021年甘其毛都镇政务公开目录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543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公开内容</w:t>
            </w: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公开事项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公开形式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公开范围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公开时限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restart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民生</w:t>
            </w: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养老保险、社保、医保执行情况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计生各项政策奖励执行情况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低保、扶贫、优抚人员标准及名单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救灾救济款物和优待抚恤金发放情况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良种补贴、农机补贴、种公畜补贴等各项补贴标准及执行情况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草原奖励补助发放标准及执行情况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草牧场占征用、占用补贴标准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林业各项补贴发放标准及执行情况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疫情情况及处理办法和结果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543" w:type="dxa"/>
            <w:vMerge w:val="restart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财务</w:t>
            </w: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苏木年度财政预决算情况和预算外资金的收支情况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“一事一议”项目资金使用，筹资筹劳、转移支付、工程进度情况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“危房改造”项目人员名单及实施情况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政府集中采购项目目录、限额标准、采购结果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公共事业和公益事业、重大城镇基础设施建设项目审批、投资和公开招标、中标情况及工程进度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上级政府或政府部门下拨的各种专项经费及分配使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其他各类专项资金使用情况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restart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</w:t>
            </w: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便民服务大厅服务电话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便民服务大厅服务事项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便民服务大厅干部分管内容及联系方式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便民服务大厅干部请销假情况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便民服务大厅接待情况、待办事项时限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543" w:type="dxa"/>
            <w:vMerge w:val="restart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其他</w:t>
            </w: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办理一卡通、准生证等属于便民服务大厅服务领域事项的流程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苏木政府的年度工作目标及承诺事项的进展情况、时限及完成情况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即时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旗政府及苏木政府拟做出涉及面广、与人民群众密切相关的决策事项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重要人事任免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城镇建设发展规划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起草重大或关系公民、法人和其他组织切身利益的规章和规范性文件草案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43" w:type="dxa"/>
            <w:vMerge w:val="continue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4877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其他公开文件</w:t>
            </w:r>
          </w:p>
        </w:tc>
        <w:tc>
          <w:tcPr>
            <w:tcW w:w="274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会议、公示栏、文件、网络</w:t>
            </w:r>
          </w:p>
        </w:tc>
        <w:tc>
          <w:tcPr>
            <w:tcW w:w="1605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社会</w:t>
            </w:r>
          </w:p>
        </w:tc>
        <w:tc>
          <w:tcPr>
            <w:tcW w:w="1560" w:type="dxa"/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hAnsi="sans-serif" w:eastAsia="仿宋_GB2312" w:cs="仿宋_GB2312"/>
                <w:i w:val="0"/>
                <w:iCs w:val="0"/>
                <w:caps w:val="0"/>
                <w:color w:val="535353"/>
                <w:spacing w:val="0"/>
                <w:sz w:val="31"/>
                <w:szCs w:val="31"/>
                <w:bdr w:val="none" w:color="auto" w:sz="0" w:space="0"/>
              </w:rPr>
              <w:t>定时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 </w:t>
      </w:r>
    </w:p>
    <w:p>
      <w:pPr>
        <w:spacing w:line="220" w:lineRule="atLeast"/>
      </w:pPr>
    </w:p>
    <w:sectPr>
      <w:pgSz w:w="16838" w:h="11906" w:orient="landscape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Menk Amglang Ti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k Amglang Tig">
    <w:panose1 w:val="02000500000000000000"/>
    <w:charset w:val="00"/>
    <w:family w:val="auto"/>
    <w:pitch w:val="default"/>
    <w:sig w:usb0="A000029F" w:usb1="1041E44A" w:usb2="00020012" w:usb3="00000000" w:csb0="00000003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74C7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碌碌</cp:lastModifiedBy>
  <dcterms:modified xsi:type="dcterms:W3CDTF">2021-11-04T02:02:36Z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4AE2828F1C734DF98409231758BDF50F</vt:lpwstr>
  </property>
</Properties>
</file>