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23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bdr w:val="none" w:color="auto" w:sz="0" w:space="0"/>
          <w:shd w:val="clear" w:fill="FFFFFF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23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4"/>
          <w:szCs w:val="44"/>
          <w:bdr w:val="none" w:color="auto" w:sz="0" w:space="0"/>
          <w:shd w:val="clear" w:fill="FFFFFF"/>
          <w:lang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23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000000" w:themeColor="text1"/>
          <w:spacing w:val="0"/>
          <w:sz w:val="44"/>
          <w:szCs w:val="44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 w:themeColor="text1"/>
          <w:spacing w:val="0"/>
          <w:sz w:val="44"/>
          <w:szCs w:val="44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临河区住建局政府信息公开工作年度报告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 w:line="23" w:lineRule="atLeast"/>
        <w:ind w:left="0" w:right="0" w:firstLine="0"/>
        <w:jc w:val="both"/>
        <w:rPr>
          <w:rFonts w:hint="eastAsia" w:ascii="黑体" w:hAnsi="黑体" w:eastAsia="黑体" w:cs="黑体"/>
          <w:b w:val="0"/>
          <w:bCs/>
          <w:i w:val="0"/>
          <w:caps w:val="0"/>
          <w:color w:val="000000" w:themeColor="text1"/>
          <w:spacing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一、总体情况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560" w:lineRule="atLeas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2020年，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临河区住房和城乡建设局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以习近平新时代中国特色社会主义思想为指导，以贯彻落实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《内蒙古自治区政务公开领导小组关于印发 2020 年政务公开工作要点的通知》（内政公发〔2020〕1 号）、《巴彦淖尔市政务公开领导小组办公室关于印发巴彦淖尔市 2020 年政务公开工作要点的通知》（巴政公办〔2020〕5 号）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为主线，紧紧围绕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委、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市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政府以及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委、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政府关于全面推进政务公开工作的系列部署，以基层政务公开标准化规范化为抓手，以促进发展和群众满意为根本点，加强政策解读，回应公众关切，增强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区住建局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公信力、执行力，保障人民群众对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住建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工作的知情权、参与权、监督权。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560" w:lineRule="atLeas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2020年，通过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巴彦淖尔市临河区人民政府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网发布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八条信息。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内容覆盖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bdr w:val="none" w:color="auto" w:sz="0" w:space="0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关于对临河区2020年新增住房保障家庭进行公示的公告以及关于对临河区利民东苑、刨花板厂住宅楼及其他部分公租房项目摇号结果进行公示的公告，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shd w:val="clear" w:fill="FFFFFF"/>
          <w14:textFill>
            <w14:solidFill>
              <w14:schemeClr w14:val="tx1"/>
            </w14:solidFill>
          </w14:textFill>
        </w:rPr>
        <w:t>做到了应公开尽公开</w:t>
      </w:r>
      <w:r>
        <w:rPr>
          <w:rFonts w:hint="eastAsia" w:ascii="仿宋_GB2312" w:hAnsi="仿宋_GB2312" w:eastAsia="仿宋_GB2312" w:cs="仿宋_GB2312"/>
          <w:i w:val="0"/>
          <w:caps w:val="0"/>
          <w:color w:val="000000" w:themeColor="text1"/>
          <w:spacing w:val="0"/>
          <w:sz w:val="32"/>
          <w:szCs w:val="32"/>
          <w:shd w:val="clear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widowControl/>
        <w:numPr>
          <w:ilvl w:val="0"/>
          <w:numId w:val="1"/>
        </w:numPr>
        <w:spacing w:after="240" w:line="432" w:lineRule="auto"/>
        <w:ind w:firstLine="420"/>
        <w:jc w:val="both"/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主动公开政府信息情况</w:t>
      </w:r>
    </w:p>
    <w:tbl>
      <w:tblPr>
        <w:tblStyle w:val="3"/>
        <w:tblW w:w="81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3"/>
        <w:gridCol w:w="1875"/>
        <w:gridCol w:w="6"/>
        <w:gridCol w:w="1265"/>
        <w:gridCol w:w="18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第二十条第（一）项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信息内容</w:t>
            </w: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本年新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制作数量</w:t>
            </w: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本年新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公开数量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对外公开总数量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规章</w:t>
            </w: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 w:ascii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规范性文件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 w:ascii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第二十条第（五）项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信息内容</w:t>
            </w: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处理决定数量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行政许可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其他对外管理服务事项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第二十条第（六）项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信息内容</w:t>
            </w:r>
          </w:p>
        </w:tc>
        <w:tc>
          <w:tcPr>
            <w:tcW w:w="1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处理决定数量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行政处罚</w:t>
            </w: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行政强制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第二十条第（八）项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上一年项目数量</w:t>
            </w:r>
          </w:p>
        </w:tc>
        <w:tc>
          <w:tcPr>
            <w:tcW w:w="3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本年增/减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行政事业性收费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3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81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noWrap/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第二十条第（九）项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采购项目数量</w:t>
            </w:r>
          </w:p>
        </w:tc>
        <w:tc>
          <w:tcPr>
            <w:tcW w:w="3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采购总金额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311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政府集中采购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　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31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jc w:val="left"/>
              <w:rPr>
                <w:rFonts w:hint="default" w:ascii="宋体" w:hAnsi="宋体" w:cs="宋体" w:eastAsiaTheme="minorEastAsia"/>
                <w:color w:val="000000" w:themeColor="text1"/>
                <w:sz w:val="14"/>
                <w:szCs w:val="1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4"/>
                <w:szCs w:val="1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</w:tbl>
    <w:p>
      <w:pPr>
        <w:pStyle w:val="2"/>
        <w:widowControl/>
        <w:spacing w:line="432" w:lineRule="auto"/>
        <w:ind w:firstLine="420"/>
        <w:jc w:val="both"/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"/>
        <w:widowControl/>
        <w:spacing w:after="240" w:line="432" w:lineRule="auto"/>
        <w:ind w:firstLine="420"/>
        <w:jc w:val="both"/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三、收到和处理政府信息公开申请情况</w:t>
      </w:r>
    </w:p>
    <w:tbl>
      <w:tblPr>
        <w:tblStyle w:val="3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855"/>
        <w:gridCol w:w="2130"/>
        <w:gridCol w:w="825"/>
        <w:gridCol w:w="765"/>
        <w:gridCol w:w="765"/>
        <w:gridCol w:w="825"/>
        <w:gridCol w:w="990"/>
        <w:gridCol w:w="720"/>
        <w:gridCol w:w="7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（本列数据的勾稽关系为：第一项加第二项之和，等于第三项加第四项之和）</w:t>
            </w:r>
          </w:p>
        </w:tc>
        <w:tc>
          <w:tcPr>
            <w:tcW w:w="559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申请人情况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5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自然人</w:t>
            </w:r>
          </w:p>
        </w:tc>
        <w:tc>
          <w:tcPr>
            <w:tcW w:w="4065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法人或其他组织</w:t>
            </w:r>
          </w:p>
        </w:tc>
        <w:tc>
          <w:tcPr>
            <w:tcW w:w="702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商业企业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科研机构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社会公益组织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法律服务机构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  <w:tc>
          <w:tcPr>
            <w:tcW w:w="702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一、本年新收政府信息公开申请数量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二、上年结转政府信息公开申请数量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三、本年度办理结果</w:t>
            </w:r>
          </w:p>
        </w:tc>
        <w:tc>
          <w:tcPr>
            <w:tcW w:w="2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（一）予以公开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（二）部分公开（区分处理的，只计这一情形，不计其他情形）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（三）不予公开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1.属于国家秘密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2.其他法律行政法规禁止公开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3.危及“三安全一稳定”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4.保护第三方合法权益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5.属于三类内部事务信息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6.属于四类过程性信息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7.属于行政执法案卷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8.属于行政查询事项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（四）无法提供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1.本机关不掌握相关政府信息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2.没有现成信息需要另行制作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3.补正后申请内容仍不明确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（五）不予处理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1.信访举报投诉类申请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2.重复申请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3.要求提供公开出版物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4.无正当理由大量反复申请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5.要求行政机关确认或重新出具已获取信息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（六）其他处理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（七）总计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default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四、结转下年度继续办理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 w:eastAsiaTheme="minorEastAsia"/>
                <w:color w:val="000000" w:themeColor="text1"/>
                <w:sz w:val="14"/>
                <w:szCs w:val="1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4"/>
                <w:szCs w:val="1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</w:tbl>
    <w:p>
      <w:pPr>
        <w:pStyle w:val="2"/>
        <w:widowControl/>
        <w:spacing w:line="432" w:lineRule="auto"/>
        <w:jc w:val="both"/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四、政府信息公开行政复议、行政诉讼情况</w:t>
      </w:r>
    </w:p>
    <w:p>
      <w:pPr>
        <w:pStyle w:val="2"/>
        <w:widowControl/>
        <w:spacing w:line="432" w:lineRule="auto"/>
        <w:ind w:firstLine="420"/>
        <w:jc w:val="both"/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widowControl/>
        <w:spacing w:line="432" w:lineRule="auto"/>
        <w:ind w:firstLine="420"/>
        <w:jc w:val="both"/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3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行政诉讼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复议后起诉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/>
                <w:color w:val="000000" w:themeColor="text1"/>
                <w:sz w:val="14"/>
                <w:szCs w:val="1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结果维持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结果纠正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其他结果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尚未审结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结果维持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结果纠正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其他结果</w:t>
            </w:r>
          </w:p>
        </w:tc>
        <w:tc>
          <w:tcPr>
            <w:tcW w:w="6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尚未审结</w:t>
            </w:r>
          </w:p>
        </w:tc>
        <w:tc>
          <w:tcPr>
            <w:tcW w:w="6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总计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rFonts w:hint="eastAsia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afterAutospacing="1" w:line="2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6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cs="宋体" w:eastAsiaTheme="minorEastAsia"/>
                <w:color w:val="000000" w:themeColor="text1"/>
                <w:sz w:val="14"/>
                <w:szCs w:val="1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14"/>
                <w:szCs w:val="1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</w:tbl>
    <w:p>
      <w:pPr>
        <w:pStyle w:val="2"/>
        <w:widowControl/>
        <w:spacing w:line="432" w:lineRule="auto"/>
        <w:ind w:firstLine="640" w:firstLineChars="200"/>
        <w:jc w:val="both"/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五、存在的主要问题及改进情况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临河区住建局</w:t>
      </w:r>
      <w:r>
        <w:rPr>
          <w:rFonts w:hint="eastAsia" w:ascii="仿宋_GB2312" w:hAnsi="仿宋_GB2312" w:eastAsia="仿宋_GB2312" w:cs="仿宋_GB2312"/>
          <w:i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信息公开工作取得一定成效的同时仍</w:t>
      </w:r>
      <w:r>
        <w:rPr>
          <w:rFonts w:hint="eastAsia" w:ascii="仿宋_GB2312" w:hAnsi="仿宋_GB2312" w:eastAsia="仿宋_GB2312" w:cs="仿宋_GB2312"/>
          <w:i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存</w:t>
      </w:r>
      <w:r>
        <w:rPr>
          <w:rFonts w:hint="eastAsia" w:ascii="仿宋_GB2312" w:hAnsi="仿宋_GB2312" w:eastAsia="仿宋_GB2312" w:cs="仿宋_GB2312"/>
          <w:i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在一些不足，主要体现在以下方面：一是部分科室新人较多，业务知识不全面。</w:t>
      </w:r>
      <w:r>
        <w:rPr>
          <w:rFonts w:hint="eastAsia" w:ascii="仿宋_GB2312" w:hAnsi="仿宋_GB2312" w:eastAsia="仿宋_GB2312" w:cs="仿宋_GB2312"/>
          <w:i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_GB2312" w:hAnsi="仿宋_GB2312" w:eastAsia="仿宋_GB2312" w:cs="仿宋_GB2312"/>
          <w:i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是政策解读和回应关切的质量和效果还有待提升。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2021年，我</w:t>
      </w:r>
      <w:r>
        <w:rPr>
          <w:rFonts w:hint="eastAsia" w:ascii="仿宋_GB2312" w:hAnsi="仿宋_GB2312" w:eastAsia="仿宋_GB2312" w:cs="仿宋_GB2312"/>
          <w:i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局</w:t>
      </w:r>
      <w:r>
        <w:rPr>
          <w:rFonts w:hint="eastAsia" w:ascii="仿宋_GB2312" w:hAnsi="仿宋_GB2312" w:eastAsia="仿宋_GB2312" w:cs="仿宋_GB2312"/>
          <w:i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将从以下几个方面加强信息公开工作：一是进一步完善政务公开制度机制，加强工作机构和人员队伍建设，不断加强政务公开能力和水平。</w:t>
      </w:r>
      <w:r>
        <w:rPr>
          <w:rFonts w:hint="eastAsia" w:ascii="仿宋_GB2312" w:hAnsi="仿宋_GB2312" w:eastAsia="仿宋_GB2312" w:cs="仿宋_GB2312"/>
          <w:i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_GB2312" w:hAnsi="仿宋_GB2312" w:eastAsia="仿宋_GB2312" w:cs="仿宋_GB2312"/>
          <w:i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是持续推进重点领域信息公开，严格按照制定的基层政务公开标准指引，进一步规范信息公开目录、内容、流程和专题建设，加强检查督查，提升重点领域信息公开常态化、标准化、规范化水平。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六、其他需要报告的事项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560" w:lineRule="exact"/>
        <w:ind w:right="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560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临河区住房和城乡建设局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560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            2021年1月25日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粗黑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F9CD2FB"/>
    <w:multiLevelType w:val="singleLevel"/>
    <w:tmpl w:val="9F9CD2F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B32A22"/>
    <w:rsid w:val="494752EF"/>
    <w:rsid w:val="5BB6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uiPriority w:val="0"/>
    <w:rPr>
      <w:color w:val="333333"/>
      <w:u w:val="none"/>
    </w:rPr>
  </w:style>
  <w:style w:type="character" w:styleId="6">
    <w:name w:val="Hyperlink"/>
    <w:basedOn w:val="4"/>
    <w:uiPriority w:val="0"/>
    <w:rPr>
      <w:color w:val="00000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254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2021-01-25T02:28:34Z</dcterms:created>
  <dc:creator>Administrator</dc:creator>
  <cp:lastModifiedBy>袁远</cp:lastModifiedBy>
  <cp:lastPrinted>2021-01-25T07:56:41Z</cp:lastPrinted>
  <dcterms:modified xsi:type="dcterms:W3CDTF">2021-01-25T08:33:05Z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