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ind w:firstLine="883" w:firstLineChars="200"/>
        <w:jc w:val="center"/>
        <w:rPr>
          <w:rFonts w:hint="eastAsia" w:ascii="宋体" w:hAnsi="宋体" w:cs="宋体"/>
          <w:b/>
          <w:sz w:val="44"/>
          <w:szCs w:val="24"/>
        </w:rPr>
      </w:pPr>
      <w:r>
        <w:rPr>
          <w:rFonts w:hint="eastAsia" w:ascii="宋体" w:hAnsi="宋体" w:cs="宋体"/>
          <w:b/>
          <w:sz w:val="44"/>
          <w:szCs w:val="24"/>
        </w:rPr>
        <w:t>新荣农田水利工程绩效评价分析</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一</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项目基本情况</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一</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项目概况</w:t>
      </w:r>
    </w:p>
    <w:p>
      <w:pPr>
        <w:spacing w:line="240" w:lineRule="atLeast"/>
        <w:ind w:firstLine="640" w:firstLineChars="200"/>
        <w:rPr>
          <w:rFonts w:hint="eastAsia" w:ascii="仿宋_GB2312" w:hAnsi="Times New Roman" w:eastAsia="仿宋_GB2312"/>
          <w:sz w:val="32"/>
          <w:szCs w:val="24"/>
        </w:rPr>
      </w:pPr>
      <w:r>
        <w:rPr>
          <w:rFonts w:hint="eastAsia" w:ascii="宋体" w:hAnsi="宋体" w:cs="宋体"/>
          <w:sz w:val="32"/>
          <w:szCs w:val="24"/>
        </w:rPr>
        <w:t>双河镇新荣村于</w:t>
      </w:r>
      <w:r>
        <w:rPr>
          <w:rFonts w:hint="eastAsia" w:ascii="仿宋_GB2312" w:hAnsi="Times New Roman" w:eastAsia="仿宋_GB2312"/>
          <w:sz w:val="32"/>
          <w:szCs w:val="24"/>
        </w:rPr>
        <w:t>2019</w:t>
      </w:r>
      <w:r>
        <w:rPr>
          <w:rFonts w:hint="eastAsia" w:ascii="宋体" w:hAnsi="宋体" w:cs="宋体"/>
          <w:sz w:val="32"/>
          <w:szCs w:val="24"/>
        </w:rPr>
        <w:t>年申请实施巴彦淖尔市临河区新荣村农田水利工程</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由临河区政府批复</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临政字</w:t>
      </w:r>
      <w:r>
        <w:rPr>
          <w:rFonts w:hint="eastAsia" w:ascii="仿宋_GB2312" w:hAnsi="Times New Roman" w:eastAsia="仿宋_GB2312"/>
          <w:sz w:val="32"/>
          <w:szCs w:val="24"/>
        </w:rPr>
        <w:t>[202025</w:t>
      </w:r>
      <w:r>
        <w:rPr>
          <w:rFonts w:hint="eastAsia" w:ascii="宋体" w:hAnsi="宋体" w:cs="宋体"/>
          <w:sz w:val="32"/>
          <w:szCs w:val="24"/>
        </w:rPr>
        <w:t>号</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同意实施该项目</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设计方案经评审委员会评审通过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主要建设内容包括</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东支渠膜袋衬砌长度</w:t>
      </w:r>
      <w:r>
        <w:rPr>
          <w:rFonts w:hint="eastAsia" w:ascii="仿宋_GB2312" w:hAnsi="Times New Roman" w:eastAsia="仿宋_GB2312"/>
          <w:sz w:val="32"/>
          <w:szCs w:val="24"/>
        </w:rPr>
        <w:t>6404</w:t>
      </w:r>
      <w:r>
        <w:rPr>
          <w:rFonts w:hint="eastAsia" w:ascii="宋体" w:hAnsi="宋体" w:cs="宋体"/>
          <w:sz w:val="32"/>
          <w:szCs w:val="24"/>
        </w:rPr>
        <w:t>米</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新建设各类建筑物</w:t>
      </w:r>
      <w:r>
        <w:rPr>
          <w:rFonts w:hint="eastAsia" w:ascii="仿宋_GB2312" w:hAnsi="Times New Roman" w:eastAsia="仿宋_GB2312"/>
          <w:sz w:val="32"/>
          <w:szCs w:val="24"/>
        </w:rPr>
        <w:t>86</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进水闸</w:t>
      </w:r>
      <w:r>
        <w:rPr>
          <w:rFonts w:hint="eastAsia" w:ascii="仿宋_GB2312" w:hAnsi="Times New Roman" w:eastAsia="仿宋_GB2312"/>
          <w:sz w:val="32"/>
          <w:szCs w:val="24"/>
        </w:rPr>
        <w:t>65</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节制闸</w:t>
      </w:r>
      <w:r>
        <w:rPr>
          <w:rFonts w:hint="eastAsia" w:ascii="仿宋_GB2312" w:hAnsi="Times New Roman" w:eastAsia="仿宋_GB2312"/>
          <w:sz w:val="32"/>
          <w:szCs w:val="24"/>
        </w:rPr>
        <w:t>6</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生产桥</w:t>
      </w:r>
      <w:r>
        <w:rPr>
          <w:rFonts w:hint="eastAsia" w:ascii="仿宋_GB2312" w:hAnsi="Times New Roman" w:eastAsia="仿宋_GB2312"/>
          <w:sz w:val="32"/>
          <w:szCs w:val="24"/>
        </w:rPr>
        <w:t>6</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涵管桥</w:t>
      </w:r>
      <w:r>
        <w:rPr>
          <w:rFonts w:hint="eastAsia" w:ascii="仿宋_GB2312" w:hAnsi="Times New Roman" w:eastAsia="仿宋_GB2312"/>
          <w:sz w:val="32"/>
          <w:szCs w:val="24"/>
        </w:rPr>
        <w:t>3</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维修第二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第三节制闸</w:t>
      </w:r>
      <w:r>
        <w:rPr>
          <w:rFonts w:hint="eastAsia" w:ascii="仿宋_GB2312" w:hAnsi="Times New Roman" w:eastAsia="仿宋_GB2312"/>
          <w:sz w:val="32"/>
          <w:szCs w:val="24"/>
        </w:rPr>
        <w:t>2</w:t>
      </w:r>
      <w:r>
        <w:rPr>
          <w:rFonts w:hint="eastAsia" w:ascii="宋体" w:hAnsi="宋体" w:cs="宋体"/>
          <w:sz w:val="32"/>
          <w:szCs w:val="24"/>
        </w:rPr>
        <w:t>座维修建筑物</w:t>
      </w:r>
      <w:r>
        <w:rPr>
          <w:rFonts w:hint="eastAsia" w:ascii="仿宋_GB2312" w:hAnsi="Times New Roman" w:eastAsia="仿宋_GB2312"/>
          <w:sz w:val="32"/>
          <w:szCs w:val="24"/>
        </w:rPr>
        <w:t>2</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项目计划总投资</w:t>
      </w:r>
      <w:r>
        <w:rPr>
          <w:rFonts w:hint="eastAsia" w:ascii="仿宋_GB2312" w:hAnsi="Times New Roman" w:eastAsia="仿宋_GB2312"/>
          <w:sz w:val="32"/>
          <w:szCs w:val="24"/>
        </w:rPr>
        <w:t>658.99</w:t>
      </w:r>
      <w:r>
        <w:rPr>
          <w:rFonts w:hint="eastAsia" w:ascii="宋体" w:hAnsi="宋体" w:cs="宋体"/>
          <w:sz w:val="32"/>
          <w:szCs w:val="24"/>
        </w:rPr>
        <w:t>万元</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项目通过招投标程序确定施工企业</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于</w:t>
      </w:r>
      <w:r>
        <w:rPr>
          <w:rFonts w:hint="eastAsia" w:ascii="仿宋_GB2312" w:hAnsi="Times New Roman" w:eastAsia="仿宋_GB2312"/>
          <w:sz w:val="32"/>
          <w:szCs w:val="24"/>
        </w:rPr>
        <w:t>2020</w:t>
      </w:r>
      <w:r>
        <w:rPr>
          <w:rFonts w:hint="eastAsia" w:ascii="宋体" w:hAnsi="宋体" w:cs="宋体"/>
          <w:sz w:val="32"/>
          <w:szCs w:val="24"/>
        </w:rPr>
        <w:t>年</w:t>
      </w:r>
      <w:r>
        <w:rPr>
          <w:rFonts w:hint="eastAsia" w:ascii="仿宋_GB2312" w:hAnsi="Times New Roman" w:eastAsia="仿宋_GB2312"/>
          <w:sz w:val="32"/>
          <w:szCs w:val="24"/>
        </w:rPr>
        <w:t>4</w:t>
      </w:r>
      <w:r>
        <w:rPr>
          <w:rFonts w:hint="eastAsia" w:ascii="宋体" w:hAnsi="宋体" w:cs="宋体"/>
          <w:sz w:val="32"/>
          <w:szCs w:val="24"/>
        </w:rPr>
        <w:t>月</w:t>
      </w:r>
      <w:r>
        <w:rPr>
          <w:rFonts w:hint="eastAsia" w:ascii="仿宋_GB2312" w:hAnsi="Times New Roman" w:eastAsia="仿宋_GB2312"/>
          <w:sz w:val="32"/>
          <w:szCs w:val="24"/>
        </w:rPr>
        <w:t>14</w:t>
      </w:r>
      <w:r>
        <w:rPr>
          <w:rFonts w:hint="eastAsia" w:ascii="宋体" w:hAnsi="宋体" w:cs="宋体"/>
          <w:sz w:val="32"/>
          <w:szCs w:val="24"/>
        </w:rPr>
        <w:t>日组织开标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由内蒙古鸿鹏建设工程有限公司中标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开工时间为</w:t>
      </w:r>
      <w:r>
        <w:rPr>
          <w:rFonts w:hint="eastAsia" w:ascii="仿宋_GB2312" w:hAnsi="Times New Roman" w:eastAsia="仿宋_GB2312"/>
          <w:sz w:val="32"/>
          <w:szCs w:val="24"/>
        </w:rPr>
        <w:t>2020</w:t>
      </w:r>
      <w:r>
        <w:rPr>
          <w:rFonts w:hint="eastAsia" w:ascii="宋体" w:hAnsi="宋体" w:cs="宋体"/>
          <w:sz w:val="32"/>
          <w:szCs w:val="24"/>
        </w:rPr>
        <w:t>年</w:t>
      </w:r>
      <w:r>
        <w:rPr>
          <w:rFonts w:hint="eastAsia" w:ascii="仿宋_GB2312" w:hAnsi="Times New Roman" w:eastAsia="仿宋_GB2312"/>
          <w:sz w:val="32"/>
          <w:szCs w:val="24"/>
        </w:rPr>
        <w:t>4</w:t>
      </w:r>
      <w:r>
        <w:rPr>
          <w:rFonts w:hint="eastAsia" w:ascii="宋体" w:hAnsi="宋体" w:cs="宋体"/>
          <w:sz w:val="32"/>
          <w:szCs w:val="24"/>
        </w:rPr>
        <w:t>月</w:t>
      </w:r>
      <w:r>
        <w:rPr>
          <w:rFonts w:hint="eastAsia" w:ascii="仿宋_GB2312" w:hAnsi="Times New Roman" w:eastAsia="仿宋_GB2312"/>
          <w:sz w:val="32"/>
          <w:szCs w:val="24"/>
        </w:rPr>
        <w:t>25</w:t>
      </w:r>
      <w:r>
        <w:rPr>
          <w:rFonts w:hint="eastAsia" w:ascii="宋体" w:hAnsi="宋体" w:cs="宋体"/>
          <w:sz w:val="32"/>
          <w:szCs w:val="24"/>
        </w:rPr>
        <w:t>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完工验收时间为</w:t>
      </w:r>
      <w:r>
        <w:rPr>
          <w:rFonts w:hint="eastAsia" w:ascii="仿宋_GB2312" w:hAnsi="Times New Roman" w:eastAsia="仿宋_GB2312"/>
          <w:sz w:val="32"/>
          <w:szCs w:val="24"/>
        </w:rPr>
        <w:t>2020</w:t>
      </w:r>
      <w:r>
        <w:rPr>
          <w:rFonts w:hint="eastAsia" w:ascii="宋体" w:hAnsi="宋体" w:cs="宋体"/>
          <w:sz w:val="32"/>
          <w:szCs w:val="24"/>
        </w:rPr>
        <w:t>年</w:t>
      </w:r>
      <w:r>
        <w:rPr>
          <w:rFonts w:hint="eastAsia" w:ascii="仿宋_GB2312" w:hAnsi="Times New Roman" w:eastAsia="仿宋_GB2312"/>
          <w:sz w:val="32"/>
          <w:szCs w:val="24"/>
        </w:rPr>
        <w:t>10</w:t>
      </w:r>
      <w:r>
        <w:rPr>
          <w:rFonts w:hint="eastAsia" w:ascii="宋体" w:hAnsi="宋体" w:cs="宋体"/>
          <w:sz w:val="32"/>
          <w:szCs w:val="24"/>
        </w:rPr>
        <w:t>月</w:t>
      </w:r>
      <w:r>
        <w:rPr>
          <w:rFonts w:hint="eastAsia" w:ascii="仿宋_GB2312" w:hAnsi="Times New Roman" w:eastAsia="仿宋_GB2312"/>
          <w:sz w:val="32"/>
          <w:szCs w:val="24"/>
        </w:rPr>
        <w:t>13</w:t>
      </w:r>
      <w:r>
        <w:rPr>
          <w:rFonts w:hint="eastAsia" w:ascii="宋体" w:hAnsi="宋体" w:cs="宋体"/>
          <w:sz w:val="32"/>
          <w:szCs w:val="24"/>
        </w:rPr>
        <w:t>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截止目前</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项目全部实施完工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投入使用当中</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hint="eastAsia"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项目资金预算</w:t>
      </w:r>
      <w:r>
        <w:rPr>
          <w:rFonts w:hint="eastAsia" w:ascii="仿宋_GB2312" w:hAnsi="Times New Roman" w:eastAsia="仿宋_GB2312"/>
          <w:sz w:val="32"/>
          <w:szCs w:val="24"/>
        </w:rPr>
        <w:t xml:space="preserve"> </w:t>
      </w:r>
    </w:p>
    <w:p>
      <w:pPr>
        <w:spacing w:line="240" w:lineRule="atLeast"/>
        <w:ind w:firstLine="640" w:firstLineChars="200"/>
        <w:rPr>
          <w:rFonts w:hint="eastAsia" w:ascii="仿宋_GB2312" w:hAnsi="Times New Roman" w:eastAsia="仿宋_GB2312"/>
          <w:sz w:val="32"/>
          <w:szCs w:val="24"/>
        </w:rPr>
      </w:pPr>
      <w:r>
        <w:rPr>
          <w:rFonts w:hint="eastAsia" w:ascii="宋体" w:hAnsi="宋体" w:cs="宋体"/>
          <w:sz w:val="32"/>
          <w:szCs w:val="24"/>
        </w:rPr>
        <w:t>项目计划投资</w:t>
      </w:r>
      <w:r>
        <w:rPr>
          <w:rFonts w:hint="eastAsia" w:ascii="仿宋_GB2312" w:hAnsi="Times New Roman" w:eastAsia="仿宋_GB2312"/>
          <w:sz w:val="32"/>
          <w:szCs w:val="24"/>
        </w:rPr>
        <w:t>658.99</w:t>
      </w:r>
      <w:r>
        <w:rPr>
          <w:rFonts w:hint="eastAsia" w:ascii="宋体" w:hAnsi="宋体" w:cs="宋体"/>
          <w:sz w:val="32"/>
          <w:szCs w:val="24"/>
        </w:rPr>
        <w:t>万元</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其中争取自治区级财政专项扶贫资金</w:t>
      </w:r>
      <w:r>
        <w:rPr>
          <w:rFonts w:hint="eastAsia" w:ascii="仿宋_GB2312" w:hAnsi="Times New Roman" w:eastAsia="仿宋_GB2312"/>
          <w:sz w:val="32"/>
          <w:szCs w:val="24"/>
        </w:rPr>
        <w:t>623.34</w:t>
      </w:r>
      <w:r>
        <w:rPr>
          <w:rFonts w:hint="eastAsia" w:ascii="宋体" w:hAnsi="宋体" w:cs="宋体"/>
          <w:sz w:val="32"/>
          <w:szCs w:val="24"/>
        </w:rPr>
        <w:t>万元</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区本级配套资金</w:t>
      </w:r>
      <w:r>
        <w:rPr>
          <w:rFonts w:hint="eastAsia" w:ascii="仿宋_GB2312" w:hAnsi="Times New Roman" w:eastAsia="仿宋_GB2312"/>
          <w:sz w:val="32"/>
          <w:szCs w:val="24"/>
        </w:rPr>
        <w:t>35.65</w:t>
      </w:r>
      <w:r>
        <w:rPr>
          <w:rFonts w:hint="eastAsia" w:ascii="宋体" w:hAnsi="宋体" w:cs="宋体"/>
          <w:sz w:val="32"/>
          <w:szCs w:val="24"/>
        </w:rPr>
        <w:t>万元</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项目绩效目标</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为切实改善贫困村渠道不畅及桥涵口闸等基础设施陈旧落后</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清淤管理费用支出过高等与村民生产生活需求不相适应的现状</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在反复考察论证</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广泛征求农户意见的基础上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经村两委会研究</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党员大会和村民代表会议讨论通过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决定实施临河区双河镇新荣村村级小型公益性生产生活设施建设</w:t>
      </w:r>
      <w:r>
        <w:rPr>
          <w:rFonts w:hint="eastAsia" w:ascii="仿宋_GB2312" w:hAnsi="Times New Roman" w:eastAsia="仿宋_GB2312"/>
          <w:sz w:val="32"/>
          <w:szCs w:val="24"/>
        </w:rPr>
        <w:t>(</w:t>
      </w:r>
      <w:r>
        <w:rPr>
          <w:rFonts w:hint="eastAsia" w:ascii="宋体" w:hAnsi="宋体" w:cs="宋体"/>
          <w:sz w:val="32"/>
          <w:szCs w:val="24"/>
        </w:rPr>
        <w:t>农田水利</w:t>
      </w:r>
      <w:r>
        <w:rPr>
          <w:rFonts w:hint="eastAsia" w:ascii="仿宋_GB2312" w:hAnsi="Times New Roman" w:eastAsia="仿宋_GB2312"/>
          <w:sz w:val="32"/>
          <w:szCs w:val="24"/>
        </w:rPr>
        <w:t>)</w:t>
      </w:r>
      <w:r>
        <w:rPr>
          <w:rFonts w:hint="eastAsia" w:ascii="宋体" w:hAnsi="宋体" w:cs="宋体"/>
          <w:sz w:val="32"/>
          <w:szCs w:val="24"/>
        </w:rPr>
        <w:t>项目</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hint="eastAsia" w:ascii="仿宋_GB2312" w:hAnsi="Times New Roman" w:eastAsia="仿宋_GB2312"/>
          <w:sz w:val="32"/>
          <w:szCs w:val="24"/>
        </w:rPr>
      </w:pPr>
      <w:r>
        <w:rPr>
          <w:rFonts w:hint="eastAsia" w:ascii="仿宋_GB2312" w:hAnsi="Times New Roman" w:eastAsia="仿宋_GB2312"/>
          <w:sz w:val="32"/>
          <w:szCs w:val="24"/>
        </w:rPr>
        <w:t>1、</w:t>
      </w:r>
      <w:r>
        <w:rPr>
          <w:rFonts w:hint="eastAsia" w:ascii="宋体" w:hAnsi="宋体" w:cs="宋体"/>
          <w:sz w:val="32"/>
          <w:szCs w:val="24"/>
        </w:rPr>
        <w:t>产出数量指标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新荣村农田水利工程灌渠提升公益性水利设施重建维修养护数量</w:t>
      </w:r>
      <w:r>
        <w:rPr>
          <w:rFonts w:hint="eastAsia" w:ascii="Malgun Gothic Semilight" w:hAnsi="Malgun Gothic Semilight" w:eastAsia="Malgun Gothic Semilight" w:cs="Malgun Gothic Semilight"/>
          <w:sz w:val="32"/>
          <w:szCs w:val="24"/>
        </w:rPr>
        <w:t>≥</w:t>
      </w:r>
      <w:r>
        <w:rPr>
          <w:rFonts w:ascii="仿宋_GB2312" w:hAnsi="Times New Roman" w:eastAsia="仿宋_GB2312"/>
          <w:sz w:val="32"/>
          <w:szCs w:val="24"/>
        </w:rPr>
        <w:t>73</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设备维修数量</w:t>
      </w:r>
      <w:r>
        <w:rPr>
          <w:rFonts w:hint="eastAsia" w:ascii="Malgun Gothic Semilight" w:hAnsi="Malgun Gothic Semilight" w:eastAsia="Malgun Gothic Semilight" w:cs="Malgun Gothic Semilight"/>
          <w:sz w:val="32"/>
          <w:szCs w:val="24"/>
        </w:rPr>
        <w:t>≥</w:t>
      </w:r>
      <w:r>
        <w:rPr>
          <w:rFonts w:ascii="仿宋_GB2312" w:hAnsi="Times New Roman" w:eastAsia="仿宋_GB2312"/>
          <w:sz w:val="32"/>
          <w:szCs w:val="24"/>
        </w:rPr>
        <w:t>2</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引水渠节水改造长度</w:t>
      </w:r>
      <w:r>
        <w:rPr>
          <w:rFonts w:hint="eastAsia" w:ascii="Malgun Gothic Semilight" w:hAnsi="Malgun Gothic Semilight" w:eastAsia="Malgun Gothic Semilight" w:cs="Malgun Gothic Semilight"/>
          <w:sz w:val="32"/>
          <w:szCs w:val="24"/>
        </w:rPr>
        <w:t>≥</w:t>
      </w:r>
      <w:r>
        <w:rPr>
          <w:rFonts w:ascii="仿宋_GB2312" w:hAnsi="Times New Roman" w:eastAsia="仿宋_GB2312"/>
          <w:sz w:val="32"/>
          <w:szCs w:val="24"/>
        </w:rPr>
        <w:t>6.264</w:t>
      </w:r>
      <w:r>
        <w:rPr>
          <w:rFonts w:hint="eastAsia" w:ascii="宋体" w:hAnsi="宋体" w:cs="宋体"/>
          <w:sz w:val="32"/>
          <w:szCs w:val="24"/>
        </w:rPr>
        <w:t>公里</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hint="eastAsia" w:ascii="仿宋_GB2312" w:hAnsi="Times New Roman" w:eastAsia="仿宋_GB2312"/>
          <w:sz w:val="32"/>
          <w:szCs w:val="24"/>
        </w:rPr>
      </w:pPr>
      <w:r>
        <w:rPr>
          <w:rFonts w:hint="eastAsia" w:ascii="仿宋_GB2312" w:hAnsi="Times New Roman" w:eastAsia="仿宋_GB2312"/>
          <w:sz w:val="32"/>
          <w:szCs w:val="24"/>
        </w:rPr>
        <w:t>2、</w:t>
      </w:r>
      <w:r>
        <w:rPr>
          <w:rFonts w:hint="eastAsia" w:ascii="宋体" w:hAnsi="宋体" w:cs="宋体"/>
          <w:sz w:val="32"/>
          <w:szCs w:val="24"/>
        </w:rPr>
        <w:t>产出质量指标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项目审计和施工合格率</w:t>
      </w:r>
      <w:r>
        <w:rPr>
          <w:rFonts w:hint="eastAsia" w:ascii="Malgun Gothic Semilight" w:hAnsi="Malgun Gothic Semilight" w:eastAsia="Malgun Gothic Semilight" w:cs="Malgun Gothic Semilight"/>
          <w:sz w:val="32"/>
          <w:szCs w:val="24"/>
        </w:rPr>
        <w:t>≥</w:t>
      </w:r>
      <w:r>
        <w:rPr>
          <w:rFonts w:ascii="仿宋_GB2312" w:hAnsi="Times New Roman" w:eastAsia="仿宋_GB2312"/>
          <w:sz w:val="32"/>
          <w:szCs w:val="24"/>
        </w:rPr>
        <w:t>95%</w:t>
      </w:r>
      <w:r>
        <w:rPr>
          <w:rFonts w:hint="eastAsia" w:ascii="仿宋_GB2312" w:hAnsi="Times New Roman" w:eastAsia="仿宋_GB2312"/>
          <w:sz w:val="32"/>
          <w:szCs w:val="24"/>
        </w:rPr>
        <w:t>，</w:t>
      </w:r>
      <w:r>
        <w:rPr>
          <w:rFonts w:hint="eastAsia" w:ascii="宋体" w:hAnsi="宋体" w:cs="宋体"/>
          <w:sz w:val="32"/>
          <w:szCs w:val="24"/>
        </w:rPr>
        <w:t>项目验收合格率</w:t>
      </w:r>
      <w:r>
        <w:rPr>
          <w:rFonts w:hint="eastAsia" w:ascii="Malgun Gothic Semilight" w:hAnsi="Malgun Gothic Semilight" w:eastAsia="Malgun Gothic Semilight" w:cs="Malgun Gothic Semilight"/>
          <w:sz w:val="32"/>
          <w:szCs w:val="24"/>
        </w:rPr>
        <w:t>≥</w:t>
      </w:r>
      <w:r>
        <w:rPr>
          <w:rFonts w:ascii="仿宋_GB2312" w:hAnsi="Times New Roman" w:eastAsia="仿宋_GB2312"/>
          <w:sz w:val="32"/>
          <w:szCs w:val="24"/>
        </w:rPr>
        <w:t>98%</w:t>
      </w:r>
      <w:r>
        <w:rPr>
          <w:rFonts w:hint="eastAsia" w:ascii="仿宋_GB2312" w:hAnsi="Times New Roman" w:eastAsia="仿宋_GB2312"/>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3、</w:t>
      </w:r>
      <w:r>
        <w:rPr>
          <w:rFonts w:hint="eastAsia" w:ascii="宋体" w:hAnsi="宋体" w:cs="宋体"/>
          <w:sz w:val="32"/>
          <w:szCs w:val="24"/>
        </w:rPr>
        <w:t>产出成本指标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建设总成本低于</w:t>
      </w:r>
      <w:r>
        <w:rPr>
          <w:rFonts w:ascii="仿宋_GB2312" w:hAnsi="Times New Roman" w:eastAsia="仿宋_GB2312"/>
          <w:sz w:val="32"/>
          <w:szCs w:val="24"/>
        </w:rPr>
        <w:t>658.99</w:t>
      </w:r>
      <w:r>
        <w:rPr>
          <w:rFonts w:hint="eastAsia" w:ascii="宋体" w:hAnsi="宋体" w:cs="宋体"/>
          <w:sz w:val="32"/>
          <w:szCs w:val="24"/>
        </w:rPr>
        <w:t>万元</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4、</w:t>
      </w:r>
      <w:r>
        <w:rPr>
          <w:rFonts w:hint="eastAsia" w:ascii="宋体" w:hAnsi="宋体" w:cs="宋体"/>
          <w:sz w:val="32"/>
          <w:szCs w:val="24"/>
        </w:rPr>
        <w:t>效益指标目标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提高水资源的利用率</w:t>
      </w:r>
      <w:r>
        <w:rPr>
          <w:rFonts w:ascii="仿宋_GB2312" w:hAnsi="Times New Roman" w:eastAsia="仿宋_GB2312"/>
          <w:sz w:val="32"/>
          <w:szCs w:val="24"/>
        </w:rPr>
        <w:t>,</w:t>
      </w:r>
      <w:r>
        <w:rPr>
          <w:rFonts w:hint="eastAsia" w:ascii="宋体" w:hAnsi="宋体" w:cs="宋体"/>
          <w:sz w:val="32"/>
          <w:szCs w:val="24"/>
        </w:rPr>
        <w:t>提高了农业产品的质量</w:t>
      </w:r>
      <w:r>
        <w:rPr>
          <w:rFonts w:ascii="仿宋_GB2312" w:hAnsi="Times New Roman" w:eastAsia="仿宋_GB2312"/>
          <w:sz w:val="32"/>
          <w:szCs w:val="24"/>
        </w:rPr>
        <w:t>,</w:t>
      </w:r>
      <w:r>
        <w:rPr>
          <w:rFonts w:hint="eastAsia" w:ascii="宋体" w:hAnsi="宋体" w:cs="宋体"/>
          <w:sz w:val="32"/>
          <w:szCs w:val="24"/>
        </w:rPr>
        <w:t>解决了村民浇水难题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为村民增产增收</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工程持续使用年限</w:t>
      </w:r>
      <w:r>
        <w:rPr>
          <w:rFonts w:hint="eastAsia" w:ascii="Malgun Gothic Semilight" w:hAnsi="Malgun Gothic Semilight" w:eastAsia="Malgun Gothic Semilight" w:cs="Malgun Gothic Semilight"/>
          <w:sz w:val="32"/>
          <w:szCs w:val="24"/>
        </w:rPr>
        <w:t>≥</w:t>
      </w:r>
      <w:r>
        <w:rPr>
          <w:rFonts w:ascii="仿宋_GB2312" w:hAnsi="Times New Roman" w:eastAsia="仿宋_GB2312"/>
          <w:sz w:val="32"/>
          <w:szCs w:val="24"/>
        </w:rPr>
        <w:t>10</w:t>
      </w:r>
      <w:r>
        <w:rPr>
          <w:rFonts w:hint="eastAsia" w:ascii="宋体" w:hAnsi="宋体" w:cs="宋体"/>
          <w:sz w:val="32"/>
          <w:szCs w:val="24"/>
        </w:rPr>
        <w:t>年</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5、</w:t>
      </w:r>
      <w:r>
        <w:rPr>
          <w:rFonts w:hint="eastAsia" w:ascii="宋体" w:hAnsi="宋体" w:cs="宋体"/>
          <w:sz w:val="32"/>
          <w:szCs w:val="24"/>
        </w:rPr>
        <w:t>满意度目标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按照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谁受益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谁评分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的原则</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新荣村农田水利工程满意度目标是使村民满意度达</w:t>
      </w:r>
      <w:r>
        <w:rPr>
          <w:rFonts w:hint="eastAsia" w:ascii="仿宋_GB2312" w:hAnsi="Times New Roman" w:eastAsia="仿宋_GB2312"/>
          <w:sz w:val="32"/>
          <w:szCs w:val="24"/>
        </w:rPr>
        <w:t>95%</w:t>
      </w:r>
      <w:r>
        <w:rPr>
          <w:rFonts w:hint="eastAsia" w:ascii="宋体" w:hAnsi="宋体" w:cs="宋体"/>
          <w:sz w:val="32"/>
          <w:szCs w:val="24"/>
        </w:rPr>
        <w:t>以上</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绩效评价工作情况</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一</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绩效评价目的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对象和范围</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按照项目资金使用的相关要求</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了解资金使用和项目实施情况</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合理安排好</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利用好资金</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发现资金使用和项目实施中存在的问题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提出改进的建议</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提高财政资金使用规范性和效益产出</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切实保障资金按要求拨付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发挥积极地社会效益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为加强预算管理提供重要依据</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绩效管理对象为新荣村农田水利工程</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绩效评价原则</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评价指标体系</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附表说明</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评价方法</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评价标准等</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1、</w:t>
      </w:r>
      <w:r>
        <w:rPr>
          <w:rFonts w:hint="eastAsia" w:ascii="宋体" w:hAnsi="宋体" w:cs="宋体"/>
          <w:sz w:val="32"/>
          <w:szCs w:val="24"/>
        </w:rPr>
        <w:t>绩效评价原则</w:t>
      </w:r>
      <w:r>
        <w:rPr>
          <w:rFonts w:hint="eastAsia" w:ascii="Malgun Gothic Semilight" w:hAnsi="Malgun Gothic Semilight" w:eastAsia="Malgun Gothic Semilight" w:cs="Malgun Gothic Semilight"/>
          <w:sz w:val="32"/>
          <w:szCs w:val="24"/>
        </w:rPr>
        <w:t>：</w:t>
      </w:r>
      <w:bookmarkStart w:id="0" w:name="_GoBack"/>
      <w:bookmarkEnd w:id="0"/>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（1）</w:t>
      </w:r>
      <w:r>
        <w:rPr>
          <w:rFonts w:hint="eastAsia" w:ascii="宋体" w:hAnsi="宋体" w:cs="宋体"/>
          <w:sz w:val="32"/>
          <w:szCs w:val="24"/>
        </w:rPr>
        <w:t>科学公正</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绩效评价应当运用科学合理的方法</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按照规范的程序</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对项目绩效进行客观</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公正的反映</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（2）</w:t>
      </w:r>
      <w:r>
        <w:rPr>
          <w:rFonts w:hint="eastAsia" w:ascii="宋体" w:hAnsi="宋体" w:cs="宋体"/>
          <w:sz w:val="32"/>
          <w:szCs w:val="24"/>
        </w:rPr>
        <w:t>统筹兼顾</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单位自评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部门评价和财政评价应职责明确</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各有侧重</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相互衔接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单位自评应由项目单位自主实施</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即</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谁支出</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谁自评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部门评价和财政评价应在单位自评的基础上开展</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必要时可委托第三方机构实施</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（3）</w:t>
      </w:r>
      <w:r>
        <w:rPr>
          <w:rFonts w:hint="eastAsia" w:ascii="宋体" w:hAnsi="宋体" w:cs="宋体"/>
          <w:sz w:val="32"/>
          <w:szCs w:val="24"/>
        </w:rPr>
        <w:t>激励约束</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绩效评价结果应与预算安排</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政策调整</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改进管理实质性挂钩</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体现奖优罚劣和激励相容导向</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有效要安排</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低效要压减</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无效要问责</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（4）</w:t>
      </w:r>
      <w:r>
        <w:rPr>
          <w:rFonts w:hint="eastAsia" w:ascii="宋体" w:hAnsi="宋体" w:cs="宋体"/>
          <w:sz w:val="32"/>
          <w:szCs w:val="24"/>
        </w:rPr>
        <w:t>公开透明</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绩效评价结果应依法依规公开</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并自觉接受社会监督</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2、</w:t>
      </w:r>
      <w:r>
        <w:rPr>
          <w:rFonts w:hint="eastAsia" w:ascii="宋体" w:hAnsi="宋体" w:cs="宋体"/>
          <w:sz w:val="32"/>
          <w:szCs w:val="24"/>
        </w:rPr>
        <w:t>评价指标体系</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附表说明</w:t>
      </w:r>
      <w:r>
        <w:rPr>
          <w:rFonts w:hint="eastAsia" w:ascii="Malgun Gothic Semilight" w:hAnsi="Malgun Gothic Semilight" w:eastAsia="Malgun Gothic Semilight" w:cs="Malgun Gothic Semilight"/>
          <w:sz w:val="32"/>
          <w:szCs w:val="24"/>
        </w:rPr>
        <w:t>）</w:t>
      </w:r>
    </w:p>
    <w:tbl>
      <w:tblPr>
        <w:tblStyle w:val="3"/>
        <w:tblW w:w="897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568"/>
        <w:gridCol w:w="791"/>
        <w:gridCol w:w="931"/>
        <w:gridCol w:w="1841"/>
        <w:gridCol w:w="484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9" w:hRule="atLeast"/>
          <w:tblHeader/>
          <w:jc w:val="center"/>
        </w:trPr>
        <w:tc>
          <w:tcPr>
            <w:tcW w:w="568" w:type="dxa"/>
            <w:shd w:val="clear" w:color="auto" w:fill="FFFFFF"/>
            <w:vAlign w:val="center"/>
          </w:tcPr>
          <w:p>
            <w:pPr>
              <w:widowControl/>
              <w:spacing w:line="240" w:lineRule="atLeast"/>
              <w:jc w:val="center"/>
              <w:rPr>
                <w:rFonts w:ascii="仿宋" w:hAnsi="仿宋" w:eastAsia="仿宋"/>
                <w:b/>
                <w:bCs/>
                <w:kern w:val="0"/>
                <w:sz w:val="22"/>
              </w:rPr>
            </w:pPr>
            <w:r>
              <w:rPr>
                <w:rFonts w:hint="eastAsia" w:ascii="仿宋" w:hAnsi="仿宋" w:eastAsia="仿宋" w:cs="宋体"/>
                <w:b/>
                <w:bCs/>
                <w:kern w:val="0"/>
                <w:sz w:val="22"/>
              </w:rPr>
              <w:t>一级指标</w:t>
            </w:r>
          </w:p>
        </w:tc>
        <w:tc>
          <w:tcPr>
            <w:tcW w:w="791" w:type="dxa"/>
            <w:shd w:val="clear" w:color="auto" w:fill="FFFFFF"/>
            <w:vAlign w:val="center"/>
          </w:tcPr>
          <w:p>
            <w:pPr>
              <w:widowControl/>
              <w:spacing w:line="240" w:lineRule="atLeast"/>
              <w:jc w:val="center"/>
              <w:rPr>
                <w:rFonts w:ascii="仿宋" w:hAnsi="仿宋" w:eastAsia="仿宋"/>
                <w:b/>
                <w:bCs/>
                <w:kern w:val="0"/>
                <w:sz w:val="22"/>
              </w:rPr>
            </w:pPr>
            <w:r>
              <w:rPr>
                <w:rFonts w:hint="eastAsia" w:ascii="仿宋" w:hAnsi="仿宋" w:eastAsia="仿宋" w:cs="宋体"/>
                <w:b/>
                <w:bCs/>
                <w:kern w:val="0"/>
                <w:sz w:val="22"/>
              </w:rPr>
              <w:t>二级指标</w:t>
            </w:r>
          </w:p>
        </w:tc>
        <w:tc>
          <w:tcPr>
            <w:tcW w:w="931" w:type="dxa"/>
            <w:shd w:val="clear" w:color="auto" w:fill="FFFFFF"/>
            <w:vAlign w:val="center"/>
          </w:tcPr>
          <w:p>
            <w:pPr>
              <w:widowControl/>
              <w:spacing w:line="240" w:lineRule="atLeast"/>
              <w:jc w:val="center"/>
              <w:rPr>
                <w:rFonts w:ascii="仿宋" w:hAnsi="仿宋" w:eastAsia="仿宋"/>
                <w:b/>
                <w:bCs/>
                <w:kern w:val="0"/>
                <w:sz w:val="22"/>
              </w:rPr>
            </w:pPr>
            <w:r>
              <w:rPr>
                <w:rFonts w:hint="eastAsia" w:ascii="仿宋" w:hAnsi="仿宋" w:eastAsia="仿宋" w:cs="宋体"/>
                <w:b/>
                <w:bCs/>
                <w:kern w:val="0"/>
                <w:sz w:val="22"/>
              </w:rPr>
              <w:t>三级指标</w:t>
            </w:r>
          </w:p>
        </w:tc>
        <w:tc>
          <w:tcPr>
            <w:tcW w:w="1841" w:type="dxa"/>
            <w:shd w:val="clear" w:color="auto" w:fill="FFFFFF"/>
            <w:vAlign w:val="center"/>
          </w:tcPr>
          <w:p>
            <w:pPr>
              <w:widowControl/>
              <w:spacing w:line="240" w:lineRule="atLeast"/>
              <w:jc w:val="center"/>
              <w:rPr>
                <w:rFonts w:ascii="仿宋" w:hAnsi="仿宋" w:eastAsia="仿宋"/>
                <w:b/>
                <w:bCs/>
                <w:kern w:val="0"/>
                <w:sz w:val="22"/>
              </w:rPr>
            </w:pPr>
            <w:r>
              <w:rPr>
                <w:rFonts w:hint="eastAsia" w:ascii="仿宋" w:hAnsi="仿宋" w:eastAsia="仿宋" w:cs="宋体"/>
                <w:b/>
                <w:bCs/>
                <w:kern w:val="0"/>
                <w:sz w:val="22"/>
              </w:rPr>
              <w:t>指标解释</w:t>
            </w:r>
          </w:p>
        </w:tc>
        <w:tc>
          <w:tcPr>
            <w:tcW w:w="4847" w:type="dxa"/>
            <w:shd w:val="clear" w:color="auto" w:fill="FFFFFF"/>
            <w:vAlign w:val="center"/>
          </w:tcPr>
          <w:p>
            <w:pPr>
              <w:widowControl/>
              <w:spacing w:line="240" w:lineRule="atLeast"/>
              <w:jc w:val="center"/>
              <w:rPr>
                <w:rFonts w:ascii="仿宋" w:hAnsi="仿宋" w:eastAsia="仿宋"/>
                <w:b/>
                <w:bCs/>
                <w:kern w:val="0"/>
                <w:sz w:val="22"/>
              </w:rPr>
            </w:pPr>
            <w:r>
              <w:rPr>
                <w:rFonts w:hint="eastAsia" w:ascii="仿宋" w:hAnsi="仿宋" w:eastAsia="仿宋" w:cs="宋体"/>
                <w:b/>
                <w:bCs/>
                <w:kern w:val="0"/>
                <w:sz w:val="22"/>
              </w:rPr>
              <w:t>指标说明</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46" w:hRule="atLeast"/>
          <w:jc w:val="center"/>
        </w:trPr>
        <w:tc>
          <w:tcPr>
            <w:tcW w:w="568"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决策　</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　</w:t>
            </w:r>
          </w:p>
          <w:p>
            <w:pPr>
              <w:spacing w:line="240" w:lineRule="atLeast"/>
              <w:jc w:val="center"/>
              <w:rPr>
                <w:rFonts w:ascii="仿宋" w:hAnsi="仿宋" w:eastAsia="仿宋"/>
                <w:kern w:val="0"/>
                <w:sz w:val="22"/>
              </w:rPr>
            </w:pPr>
            <w:r>
              <w:rPr>
                <w:rFonts w:hint="eastAsia" w:ascii="仿宋" w:hAnsi="仿宋" w:eastAsia="仿宋" w:cs="宋体"/>
                <w:kern w:val="0"/>
                <w:sz w:val="22"/>
              </w:rPr>
              <w:t>　</w:t>
            </w:r>
          </w:p>
        </w:tc>
        <w:tc>
          <w:tcPr>
            <w:tcW w:w="791"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项目立项　</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立项依据</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充分性</w:t>
            </w:r>
          </w:p>
        </w:tc>
        <w:tc>
          <w:tcPr>
            <w:tcW w:w="1841"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项目立项是否符合法律法规、相关政策、发展规划以及部门职责，用以反映和考核项目立项依据情况。</w:t>
            </w:r>
          </w:p>
        </w:tc>
        <w:tc>
          <w:tcPr>
            <w:tcW w:w="4847" w:type="dxa"/>
            <w:shd w:val="clear" w:color="auto" w:fill="FFFFFF"/>
            <w:vAlign w:val="center"/>
          </w:tcPr>
          <w:p>
            <w:pPr>
              <w:widowControl/>
              <w:spacing w:line="240" w:lineRule="atLeast"/>
              <w:jc w:val="lef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①项目立项是否符合国家法律法规、国民经济发展规划和相关政策；</w:t>
            </w:r>
            <w:r>
              <w:rPr>
                <w:rFonts w:hint="eastAsia" w:ascii="仿宋" w:hAnsi="仿宋" w:eastAsia="仿宋" w:cs="宋体"/>
                <w:kern w:val="0"/>
                <w:sz w:val="22"/>
              </w:rPr>
              <w:br w:type="textWrapping"/>
            </w:r>
            <w:r>
              <w:rPr>
                <w:rFonts w:hint="eastAsia" w:ascii="仿宋" w:hAnsi="仿宋" w:eastAsia="仿宋" w:cs="宋体"/>
                <w:kern w:val="0"/>
                <w:sz w:val="22"/>
              </w:rPr>
              <w:t>②项目立项是否符合行业发展规划和政策要求；</w:t>
            </w:r>
            <w:r>
              <w:rPr>
                <w:rFonts w:hint="eastAsia" w:ascii="仿宋" w:hAnsi="仿宋" w:eastAsia="仿宋" w:cs="宋体"/>
                <w:kern w:val="0"/>
                <w:sz w:val="22"/>
              </w:rPr>
              <w:br w:type="textWrapping"/>
            </w:r>
            <w:r>
              <w:rPr>
                <w:rFonts w:hint="eastAsia" w:ascii="仿宋" w:hAnsi="仿宋" w:eastAsia="仿宋" w:cs="宋体"/>
                <w:kern w:val="0"/>
                <w:sz w:val="22"/>
              </w:rPr>
              <w:t>③项目立项是否与部门职责范围相符，属于部门履职所需；</w:t>
            </w:r>
            <w:r>
              <w:rPr>
                <w:rFonts w:hint="eastAsia" w:ascii="仿宋" w:hAnsi="仿宋" w:eastAsia="仿宋" w:cs="宋体"/>
                <w:kern w:val="0"/>
                <w:sz w:val="22"/>
              </w:rPr>
              <w:br w:type="textWrapping"/>
            </w:r>
            <w:r>
              <w:rPr>
                <w:rFonts w:hint="eastAsia" w:ascii="仿宋" w:hAnsi="仿宋" w:eastAsia="仿宋" w:cs="宋体"/>
                <w:kern w:val="0"/>
                <w:sz w:val="22"/>
              </w:rPr>
              <w:t>④项目是否属于公共财政支持范围，是否符合中央、地方事权支出责任划分原则；</w:t>
            </w:r>
            <w:r>
              <w:rPr>
                <w:rFonts w:hint="eastAsia" w:ascii="仿宋" w:hAnsi="仿宋" w:eastAsia="仿宋" w:cs="宋体"/>
                <w:kern w:val="0"/>
                <w:sz w:val="22"/>
              </w:rPr>
              <w:br w:type="textWrapping"/>
            </w:r>
            <w:r>
              <w:rPr>
                <w:rFonts w:hint="eastAsia" w:ascii="仿宋" w:hAnsi="仿宋" w:eastAsia="仿宋" w:cs="宋体"/>
                <w:kern w:val="0"/>
                <w:sz w:val="22"/>
              </w:rPr>
              <w:t>⑤项目是否与相关部门同类项目或部门内部相关项目重复。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74" w:hRule="atLeast"/>
          <w:jc w:val="center"/>
        </w:trPr>
        <w:tc>
          <w:tcPr>
            <w:tcW w:w="568" w:type="dxa"/>
            <w:vMerge w:val="continue"/>
            <w:shd w:val="clear" w:color="auto" w:fill="FFFFFF"/>
            <w:vAlign w:val="center"/>
          </w:tcPr>
          <w:p>
            <w:pPr>
              <w:spacing w:line="240" w:lineRule="atLeast"/>
              <w:jc w:val="center"/>
              <w:rPr>
                <w:rFonts w:ascii="仿宋" w:hAnsi="仿宋" w:eastAsia="仿宋"/>
                <w:kern w:val="0"/>
                <w:sz w:val="22"/>
              </w:rPr>
            </w:pPr>
          </w:p>
        </w:tc>
        <w:tc>
          <w:tcPr>
            <w:tcW w:w="791" w:type="dxa"/>
            <w:vMerge w:val="continue"/>
            <w:shd w:val="clear" w:color="auto" w:fill="FFFFFF"/>
            <w:vAlign w:val="center"/>
          </w:tcPr>
          <w:p>
            <w:pPr>
              <w:widowControl/>
              <w:spacing w:line="240" w:lineRule="atLeast"/>
              <w:jc w:val="center"/>
              <w:rPr>
                <w:rFonts w:ascii="仿宋" w:hAnsi="仿宋" w:eastAsia="仿宋"/>
                <w:kern w:val="0"/>
                <w:sz w:val="22"/>
              </w:rPr>
            </w:pP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立项程序</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规范性</w:t>
            </w:r>
          </w:p>
        </w:tc>
        <w:tc>
          <w:tcPr>
            <w:tcW w:w="1841"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项目申请、设立过程是否符合相关要求，用以反映和考核项目立项的规范情况。</w:t>
            </w:r>
          </w:p>
        </w:tc>
        <w:tc>
          <w:tcPr>
            <w:tcW w:w="4847" w:type="dxa"/>
            <w:shd w:val="clear" w:color="auto" w:fill="FFFFFF"/>
            <w:vAlign w:val="center"/>
          </w:tcPr>
          <w:p>
            <w:pPr>
              <w:widowControl/>
              <w:spacing w:line="240" w:lineRule="atLeast"/>
              <w:jc w:val="lef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①项目是否按照规定的程序申请设立；</w:t>
            </w:r>
            <w:r>
              <w:rPr>
                <w:rFonts w:hint="eastAsia" w:ascii="仿宋" w:hAnsi="仿宋" w:eastAsia="仿宋" w:cs="宋体"/>
                <w:kern w:val="0"/>
                <w:sz w:val="22"/>
              </w:rPr>
              <w:br w:type="textWrapping"/>
            </w:r>
            <w:r>
              <w:rPr>
                <w:rFonts w:hint="eastAsia" w:ascii="仿宋" w:hAnsi="仿宋" w:eastAsia="仿宋" w:cs="宋体"/>
                <w:kern w:val="0"/>
                <w:sz w:val="22"/>
              </w:rPr>
              <w:t>②审批文件、材料是否符合相关要求；</w:t>
            </w:r>
            <w:r>
              <w:rPr>
                <w:rFonts w:hint="eastAsia" w:ascii="仿宋" w:hAnsi="仿宋" w:eastAsia="仿宋" w:cs="宋体"/>
                <w:kern w:val="0"/>
                <w:sz w:val="22"/>
              </w:rPr>
              <w:br w:type="textWrapping"/>
            </w:r>
            <w:r>
              <w:rPr>
                <w:rFonts w:hint="eastAsia" w:ascii="仿宋" w:hAnsi="仿宋" w:eastAsia="仿宋" w:cs="宋体"/>
                <w:kern w:val="0"/>
                <w:sz w:val="22"/>
              </w:rPr>
              <w:t>③事前是否已经过必要的可行性研究、专家论证、风险评估、绩效评估、集体决策。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52" w:hRule="atLeast"/>
          <w:jc w:val="center"/>
        </w:trPr>
        <w:tc>
          <w:tcPr>
            <w:tcW w:w="568" w:type="dxa"/>
            <w:vMerge w:val="continue"/>
            <w:shd w:val="clear" w:color="auto" w:fill="FFFFFF"/>
            <w:vAlign w:val="center"/>
          </w:tcPr>
          <w:p>
            <w:pPr>
              <w:spacing w:line="240" w:lineRule="atLeast"/>
              <w:jc w:val="center"/>
              <w:rPr>
                <w:rFonts w:ascii="仿宋" w:hAnsi="仿宋" w:eastAsia="仿宋"/>
                <w:kern w:val="0"/>
                <w:sz w:val="22"/>
              </w:rPr>
            </w:pPr>
          </w:p>
        </w:tc>
        <w:tc>
          <w:tcPr>
            <w:tcW w:w="79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绩效目标　</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绩效目标</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合理性</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项目所设定的绩效目标是否依据充分，是否符合客观实际，用以反映和考核项目绩效目标与项目实施的相符情况。</w:t>
            </w:r>
          </w:p>
        </w:tc>
        <w:tc>
          <w:tcPr>
            <w:tcW w:w="4847" w:type="dxa"/>
            <w:shd w:val="clear" w:color="000000" w:fill="FFFFFF"/>
            <w:vAlign w:val="center"/>
          </w:tcPr>
          <w:p>
            <w:pPr>
              <w:widowControl/>
              <w:spacing w:line="240" w:lineRule="atLeast"/>
              <w:jc w:val="lef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（如未设定预算绩效目标，也可考核其他工作任务目标）</w:t>
            </w:r>
            <w:r>
              <w:rPr>
                <w:rFonts w:hint="eastAsia" w:ascii="仿宋" w:hAnsi="仿宋" w:eastAsia="仿宋" w:cs="宋体"/>
                <w:kern w:val="0"/>
                <w:sz w:val="22"/>
              </w:rPr>
              <w:br w:type="textWrapping"/>
            </w:r>
            <w:r>
              <w:rPr>
                <w:rFonts w:hint="eastAsia" w:ascii="仿宋" w:hAnsi="仿宋" w:eastAsia="仿宋" w:cs="宋体"/>
                <w:kern w:val="0"/>
                <w:sz w:val="22"/>
              </w:rPr>
              <w:t>①项目是否有绩效目标；</w:t>
            </w:r>
            <w:r>
              <w:rPr>
                <w:rFonts w:hint="eastAsia" w:ascii="仿宋" w:hAnsi="仿宋" w:eastAsia="仿宋" w:cs="宋体"/>
                <w:kern w:val="0"/>
                <w:sz w:val="22"/>
              </w:rPr>
              <w:br w:type="textWrapping"/>
            </w:r>
            <w:r>
              <w:rPr>
                <w:rFonts w:hint="eastAsia" w:ascii="仿宋" w:hAnsi="仿宋" w:eastAsia="仿宋" w:cs="宋体"/>
                <w:kern w:val="0"/>
                <w:sz w:val="22"/>
              </w:rPr>
              <w:t>②项目绩效目标与实际工作内容是否具有相关性；</w:t>
            </w:r>
            <w:r>
              <w:rPr>
                <w:rFonts w:hint="eastAsia" w:ascii="仿宋" w:hAnsi="仿宋" w:eastAsia="仿宋" w:cs="宋体"/>
                <w:kern w:val="0"/>
                <w:sz w:val="22"/>
              </w:rPr>
              <w:br w:type="textWrapping"/>
            </w:r>
            <w:r>
              <w:rPr>
                <w:rFonts w:hint="eastAsia" w:ascii="仿宋" w:hAnsi="仿宋" w:eastAsia="仿宋" w:cs="宋体"/>
                <w:kern w:val="0"/>
                <w:sz w:val="22"/>
              </w:rPr>
              <w:t>③项目预期产出效益和效果是否符合正常的业绩水平；</w:t>
            </w:r>
          </w:p>
          <w:p>
            <w:pPr>
              <w:widowControl/>
              <w:spacing w:line="240" w:lineRule="atLeast"/>
              <w:jc w:val="left"/>
              <w:rPr>
                <w:rFonts w:ascii="仿宋" w:hAnsi="仿宋" w:eastAsia="仿宋"/>
                <w:kern w:val="0"/>
                <w:sz w:val="22"/>
              </w:rPr>
            </w:pPr>
            <w:r>
              <w:rPr>
                <w:rFonts w:hint="eastAsia" w:ascii="仿宋" w:hAnsi="仿宋" w:eastAsia="仿宋" w:cs="宋体"/>
                <w:kern w:val="0"/>
                <w:sz w:val="22"/>
              </w:rPr>
              <w:t>④是否与预算确定的项目投资额或资金量相匹配。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34" w:hRule="atLeast"/>
          <w:jc w:val="center"/>
        </w:trPr>
        <w:tc>
          <w:tcPr>
            <w:tcW w:w="568"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决策　</w:t>
            </w:r>
          </w:p>
        </w:tc>
        <w:tc>
          <w:tcPr>
            <w:tcW w:w="79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绩效目标</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绩效指标</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明确性</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依据绩效目标设定的绩效指标是否清晰、细化、可衡量等，用以反映和考核项目绩效目标的明细化情况。</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①是否将项目绩效目标细化分解为具体的绩效指标；</w:t>
            </w:r>
            <w:r>
              <w:rPr>
                <w:rFonts w:hint="eastAsia" w:ascii="仿宋" w:hAnsi="仿宋" w:eastAsia="仿宋" w:cs="宋体"/>
                <w:kern w:val="0"/>
                <w:sz w:val="22"/>
              </w:rPr>
              <w:br w:type="textWrapping"/>
            </w:r>
            <w:r>
              <w:rPr>
                <w:rFonts w:hint="eastAsia" w:ascii="仿宋" w:hAnsi="仿宋" w:eastAsia="仿宋" w:cs="宋体"/>
                <w:kern w:val="0"/>
                <w:sz w:val="22"/>
              </w:rPr>
              <w:t>②是否通过清晰、可衡量的指标值予以体现；</w:t>
            </w:r>
            <w:r>
              <w:rPr>
                <w:rFonts w:hint="eastAsia" w:ascii="仿宋" w:hAnsi="仿宋" w:eastAsia="仿宋" w:cs="宋体"/>
                <w:kern w:val="0"/>
                <w:sz w:val="22"/>
              </w:rPr>
              <w:br w:type="textWrapping"/>
            </w:r>
            <w:r>
              <w:rPr>
                <w:rFonts w:hint="eastAsia" w:ascii="仿宋" w:hAnsi="仿宋" w:eastAsia="仿宋" w:cs="宋体"/>
                <w:kern w:val="0"/>
                <w:sz w:val="22"/>
              </w:rPr>
              <w:t>③是否与项目目标任务数或计划数相对应。</w:t>
            </w:r>
            <w:r>
              <w:rPr>
                <w:rFonts w:hint="eastAsia" w:ascii="仿宋" w:hAnsi="仿宋" w:eastAsia="仿宋" w:cs="宋体"/>
                <w:kern w:val="0"/>
                <w:sz w:val="22"/>
              </w:rPr>
              <w:br w:type="textWrapping"/>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67" w:hRule="atLeast"/>
          <w:jc w:val="center"/>
        </w:trPr>
        <w:tc>
          <w:tcPr>
            <w:tcW w:w="568" w:type="dxa"/>
            <w:vMerge w:val="continue"/>
            <w:shd w:val="clear" w:color="auto" w:fill="FFFFFF"/>
            <w:vAlign w:val="center"/>
          </w:tcPr>
          <w:p>
            <w:pPr>
              <w:spacing w:line="240" w:lineRule="atLeast"/>
              <w:jc w:val="center"/>
              <w:rPr>
                <w:rFonts w:ascii="仿宋" w:hAnsi="仿宋" w:eastAsia="仿宋"/>
                <w:kern w:val="0"/>
                <w:sz w:val="22"/>
              </w:rPr>
            </w:pPr>
          </w:p>
        </w:tc>
        <w:tc>
          <w:tcPr>
            <w:tcW w:w="791"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资金投入</w:t>
            </w:r>
          </w:p>
          <w:p>
            <w:pPr>
              <w:spacing w:line="240" w:lineRule="atLeast"/>
              <w:jc w:val="center"/>
              <w:rPr>
                <w:rFonts w:ascii="仿宋" w:hAnsi="仿宋" w:eastAsia="仿宋"/>
                <w:kern w:val="0"/>
                <w:sz w:val="22"/>
              </w:rPr>
            </w:pPr>
            <w:r>
              <w:rPr>
                <w:rFonts w:hint="eastAsia" w:ascii="仿宋" w:hAnsi="仿宋" w:eastAsia="仿宋" w:cs="宋体"/>
                <w:kern w:val="0"/>
                <w:sz w:val="22"/>
              </w:rPr>
              <w:t>　</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预算编制</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科学性</w:t>
            </w:r>
          </w:p>
        </w:tc>
        <w:tc>
          <w:tcPr>
            <w:tcW w:w="1841"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项目预算编制是否经过科学论证、有明确标准，资金额度与年度目标是否相适应，用以反映和考核项目预算编制的科学性、合理性情况。</w:t>
            </w:r>
          </w:p>
        </w:tc>
        <w:tc>
          <w:tcPr>
            <w:tcW w:w="4847"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①预算编制是否经过科学论证；</w:t>
            </w:r>
            <w:r>
              <w:rPr>
                <w:rFonts w:hint="eastAsia" w:ascii="仿宋" w:hAnsi="仿宋" w:eastAsia="仿宋" w:cs="宋体"/>
                <w:kern w:val="0"/>
                <w:sz w:val="22"/>
              </w:rPr>
              <w:br w:type="textWrapping"/>
            </w:r>
            <w:r>
              <w:rPr>
                <w:rFonts w:hint="eastAsia" w:ascii="仿宋" w:hAnsi="仿宋" w:eastAsia="仿宋" w:cs="宋体"/>
                <w:kern w:val="0"/>
                <w:sz w:val="22"/>
              </w:rPr>
              <w:t>②预算内容与项目内容是否匹配；</w:t>
            </w:r>
            <w:r>
              <w:rPr>
                <w:rFonts w:hint="eastAsia" w:ascii="仿宋" w:hAnsi="仿宋" w:eastAsia="仿宋" w:cs="宋体"/>
                <w:kern w:val="0"/>
                <w:sz w:val="22"/>
              </w:rPr>
              <w:br w:type="textWrapping"/>
            </w:r>
            <w:r>
              <w:rPr>
                <w:rFonts w:hint="eastAsia" w:ascii="仿宋" w:hAnsi="仿宋" w:eastAsia="仿宋" w:cs="宋体"/>
                <w:kern w:val="0"/>
                <w:sz w:val="22"/>
              </w:rPr>
              <w:t>③预算额度测算依据是否充分，是否按照标准编制；</w:t>
            </w:r>
            <w:r>
              <w:rPr>
                <w:rFonts w:hint="eastAsia" w:ascii="仿宋" w:hAnsi="仿宋" w:eastAsia="仿宋" w:cs="宋体"/>
                <w:kern w:val="0"/>
                <w:sz w:val="22"/>
              </w:rPr>
              <w:br w:type="textWrapping"/>
            </w:r>
            <w:r>
              <w:rPr>
                <w:rFonts w:hint="eastAsia" w:ascii="仿宋" w:hAnsi="仿宋" w:eastAsia="仿宋" w:cs="宋体"/>
                <w:kern w:val="0"/>
                <w:sz w:val="22"/>
              </w:rPr>
              <w:t>④预算确定的项目投资额或资金量是否与工作任务相匹配。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38" w:hRule="atLeast"/>
          <w:jc w:val="center"/>
        </w:trPr>
        <w:tc>
          <w:tcPr>
            <w:tcW w:w="568" w:type="dxa"/>
            <w:vMerge w:val="continue"/>
            <w:shd w:val="clear" w:color="auto" w:fill="FFFFFF"/>
            <w:vAlign w:val="center"/>
          </w:tcPr>
          <w:p>
            <w:pPr>
              <w:widowControl/>
              <w:spacing w:line="240" w:lineRule="atLeast"/>
              <w:jc w:val="center"/>
              <w:rPr>
                <w:rFonts w:ascii="仿宋" w:hAnsi="仿宋" w:eastAsia="仿宋"/>
                <w:kern w:val="0"/>
                <w:sz w:val="22"/>
              </w:rPr>
            </w:pPr>
          </w:p>
        </w:tc>
        <w:tc>
          <w:tcPr>
            <w:tcW w:w="791" w:type="dxa"/>
            <w:vMerge w:val="continue"/>
            <w:shd w:val="clear" w:color="auto" w:fill="FFFFFF"/>
            <w:vAlign w:val="center"/>
          </w:tcPr>
          <w:p>
            <w:pPr>
              <w:widowControl/>
              <w:spacing w:line="240" w:lineRule="atLeast"/>
              <w:jc w:val="center"/>
              <w:rPr>
                <w:rFonts w:ascii="仿宋" w:hAnsi="仿宋" w:eastAsia="仿宋"/>
                <w:kern w:val="0"/>
                <w:sz w:val="22"/>
              </w:rPr>
            </w:pP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资金分配</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合理性</w:t>
            </w:r>
          </w:p>
        </w:tc>
        <w:tc>
          <w:tcPr>
            <w:tcW w:w="1841"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项目预算资金分配是否有测算依据，与补助单位或地方实际是否相适应，用以反映和考核项目预算资金分配的科学性、合理性情况。</w:t>
            </w:r>
          </w:p>
        </w:tc>
        <w:tc>
          <w:tcPr>
            <w:tcW w:w="4847"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①预算资金分配依据是否充分；</w:t>
            </w:r>
            <w:r>
              <w:rPr>
                <w:rFonts w:hint="eastAsia" w:ascii="仿宋" w:hAnsi="仿宋" w:eastAsia="仿宋" w:cs="宋体"/>
                <w:kern w:val="0"/>
                <w:sz w:val="22"/>
              </w:rPr>
              <w:br w:type="textWrapping"/>
            </w:r>
            <w:r>
              <w:rPr>
                <w:rFonts w:hint="eastAsia" w:ascii="仿宋" w:hAnsi="仿宋" w:eastAsia="仿宋" w:cs="宋体"/>
                <w:kern w:val="0"/>
                <w:sz w:val="22"/>
              </w:rPr>
              <w:t>②资金分配额度是否合理，与项目单位或地方实际是否相适应。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34" w:hRule="atLeast"/>
          <w:jc w:val="center"/>
        </w:trPr>
        <w:tc>
          <w:tcPr>
            <w:tcW w:w="568" w:type="dxa"/>
            <w:vMerge w:val="restart"/>
            <w:shd w:val="clear" w:color="auto" w:fill="FFFFFF"/>
            <w:vAlign w:val="center"/>
          </w:tcPr>
          <w:p>
            <w:pPr>
              <w:spacing w:line="240" w:lineRule="atLeast"/>
              <w:jc w:val="center"/>
              <w:rPr>
                <w:rFonts w:ascii="仿宋" w:hAnsi="仿宋" w:eastAsia="仿宋"/>
                <w:kern w:val="0"/>
                <w:sz w:val="22"/>
              </w:rPr>
            </w:pPr>
            <w:r>
              <w:rPr>
                <w:rFonts w:hint="eastAsia" w:ascii="仿宋" w:hAnsi="仿宋" w:eastAsia="仿宋" w:cs="宋体"/>
                <w:kern w:val="0"/>
                <w:sz w:val="22"/>
              </w:rPr>
              <w:t>过程</w:t>
            </w:r>
          </w:p>
        </w:tc>
        <w:tc>
          <w:tcPr>
            <w:tcW w:w="791"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资金管理</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资金到位率</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实际到位资金与预算资金的比率，用以反映和考核资金落实情况对项目实施的总体保障程度。</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资金到位率=（实际到位资金/预算资金）×100%。</w:t>
            </w:r>
          </w:p>
          <w:p>
            <w:pPr>
              <w:widowControl/>
              <w:spacing w:line="240" w:lineRule="atLeast"/>
              <w:rPr>
                <w:rFonts w:ascii="仿宋" w:hAnsi="仿宋" w:eastAsia="仿宋"/>
                <w:kern w:val="0"/>
                <w:sz w:val="22"/>
              </w:rPr>
            </w:pPr>
            <w:r>
              <w:rPr>
                <w:rFonts w:hint="eastAsia" w:ascii="仿宋" w:hAnsi="仿宋" w:eastAsia="仿宋" w:cs="宋体"/>
                <w:kern w:val="0"/>
                <w:sz w:val="22"/>
              </w:rPr>
              <w:t>实际到位资金：一定时期（本年度或项目期）内落实到具体项目的资金。</w:t>
            </w:r>
          </w:p>
          <w:p>
            <w:pPr>
              <w:widowControl/>
              <w:spacing w:line="240" w:lineRule="atLeast"/>
              <w:rPr>
                <w:rFonts w:ascii="仿宋" w:hAnsi="仿宋" w:eastAsia="仿宋"/>
                <w:kern w:val="0"/>
                <w:sz w:val="22"/>
              </w:rPr>
            </w:pPr>
            <w:r>
              <w:rPr>
                <w:rFonts w:hint="eastAsia" w:ascii="仿宋" w:hAnsi="仿宋" w:eastAsia="仿宋" w:cs="宋体"/>
                <w:kern w:val="0"/>
                <w:sz w:val="22"/>
              </w:rPr>
              <w:t>预算资金：一定时期（本年度或项目期）内预算安排到具体项目的资金。</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70" w:hRule="atLeast"/>
          <w:jc w:val="center"/>
        </w:trPr>
        <w:tc>
          <w:tcPr>
            <w:tcW w:w="568" w:type="dxa"/>
            <w:vMerge w:val="continue"/>
            <w:shd w:val="clear" w:color="auto" w:fill="FFFFFF"/>
            <w:vAlign w:val="center"/>
          </w:tcPr>
          <w:p>
            <w:pPr>
              <w:spacing w:line="240" w:lineRule="atLeast"/>
              <w:jc w:val="center"/>
              <w:rPr>
                <w:rFonts w:ascii="仿宋" w:hAnsi="仿宋" w:eastAsia="仿宋"/>
                <w:kern w:val="0"/>
                <w:sz w:val="22"/>
              </w:rPr>
            </w:pPr>
          </w:p>
        </w:tc>
        <w:tc>
          <w:tcPr>
            <w:tcW w:w="791" w:type="dxa"/>
            <w:vMerge w:val="continue"/>
            <w:shd w:val="clear" w:color="auto" w:fill="FFFFFF"/>
            <w:vAlign w:val="center"/>
          </w:tcPr>
          <w:p>
            <w:pPr>
              <w:spacing w:line="240" w:lineRule="atLeast"/>
              <w:jc w:val="center"/>
              <w:rPr>
                <w:rFonts w:ascii="仿宋" w:hAnsi="仿宋" w:eastAsia="仿宋"/>
                <w:kern w:val="0"/>
                <w:sz w:val="22"/>
              </w:rPr>
            </w:pP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预算执行率</w:t>
            </w:r>
          </w:p>
        </w:tc>
        <w:tc>
          <w:tcPr>
            <w:tcW w:w="1841"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项目预算资金是否按照计划执行，用以反映或考核项目预算执行情况。</w:t>
            </w:r>
          </w:p>
        </w:tc>
        <w:tc>
          <w:tcPr>
            <w:tcW w:w="4847"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预算执行率=（实际支出资金/实际到位资金）×100%。</w:t>
            </w:r>
            <w:r>
              <w:rPr>
                <w:rFonts w:hint="eastAsia" w:ascii="仿宋" w:hAnsi="仿宋" w:eastAsia="仿宋" w:cs="宋体"/>
                <w:kern w:val="0"/>
                <w:sz w:val="22"/>
              </w:rPr>
              <w:br w:type="textWrapping"/>
            </w:r>
            <w:r>
              <w:rPr>
                <w:rFonts w:hint="eastAsia" w:ascii="仿宋" w:hAnsi="仿宋" w:eastAsia="仿宋" w:cs="宋体"/>
                <w:kern w:val="0"/>
                <w:sz w:val="22"/>
              </w:rPr>
              <w:t>实际支出资金：一定时期（本年度或项目期）内项目实际拨付的资金。</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53" w:hRule="atLeast"/>
          <w:jc w:val="center"/>
        </w:trPr>
        <w:tc>
          <w:tcPr>
            <w:tcW w:w="568"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　</w:t>
            </w:r>
          </w:p>
          <w:p>
            <w:pPr>
              <w:spacing w:line="240" w:lineRule="atLeast"/>
              <w:jc w:val="center"/>
              <w:rPr>
                <w:rFonts w:ascii="仿宋" w:hAnsi="仿宋" w:eastAsia="仿宋"/>
                <w:kern w:val="0"/>
                <w:sz w:val="22"/>
              </w:rPr>
            </w:pPr>
            <w:r>
              <w:rPr>
                <w:rFonts w:hint="eastAsia" w:ascii="仿宋" w:hAnsi="仿宋" w:eastAsia="仿宋" w:cs="宋体"/>
                <w:kern w:val="0"/>
                <w:sz w:val="22"/>
              </w:rPr>
              <w:t>过程　</w:t>
            </w:r>
          </w:p>
        </w:tc>
        <w:tc>
          <w:tcPr>
            <w:tcW w:w="79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资金管理</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资金使用</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合规性</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项目资金使用是否符合相关的财务管理制度规定，用以反映和考核项目资金的规范运行情况。</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①是否符合国家财经法规和财务管理制度以及有关专项资金管理办法的规定；</w:t>
            </w:r>
            <w:r>
              <w:rPr>
                <w:rFonts w:hint="eastAsia" w:ascii="仿宋" w:hAnsi="仿宋" w:eastAsia="仿宋" w:cs="宋体"/>
                <w:kern w:val="0"/>
                <w:sz w:val="22"/>
              </w:rPr>
              <w:br w:type="textWrapping"/>
            </w:r>
            <w:r>
              <w:rPr>
                <w:rFonts w:hint="eastAsia" w:ascii="仿宋" w:hAnsi="仿宋" w:eastAsia="仿宋" w:cs="宋体"/>
                <w:kern w:val="0"/>
                <w:sz w:val="22"/>
              </w:rPr>
              <w:t>②资金的拨付是否有完整的审批程序和手续；</w:t>
            </w:r>
            <w:r>
              <w:rPr>
                <w:rFonts w:hint="eastAsia" w:ascii="仿宋" w:hAnsi="仿宋" w:eastAsia="仿宋" w:cs="宋体"/>
                <w:kern w:val="0"/>
                <w:sz w:val="22"/>
              </w:rPr>
              <w:br w:type="textWrapping"/>
            </w:r>
            <w:r>
              <w:rPr>
                <w:rFonts w:hint="eastAsia" w:ascii="仿宋" w:hAnsi="仿宋" w:eastAsia="仿宋" w:cs="宋体"/>
                <w:kern w:val="0"/>
                <w:sz w:val="22"/>
              </w:rPr>
              <w:t>③是否符合项目预算批复或合同规定的用途；</w:t>
            </w:r>
            <w:r>
              <w:rPr>
                <w:rFonts w:hint="eastAsia" w:ascii="仿宋" w:hAnsi="仿宋" w:eastAsia="仿宋" w:cs="宋体"/>
                <w:kern w:val="0"/>
                <w:sz w:val="22"/>
              </w:rPr>
              <w:br w:type="textWrapping"/>
            </w:r>
            <w:r>
              <w:rPr>
                <w:rFonts w:hint="eastAsia" w:ascii="仿宋" w:hAnsi="仿宋" w:eastAsia="仿宋" w:cs="宋体"/>
                <w:kern w:val="0"/>
                <w:sz w:val="22"/>
              </w:rPr>
              <w:t>④是否存在截留、挤占、挪用、虚列支出等情况。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38" w:hRule="atLeast"/>
          <w:jc w:val="center"/>
        </w:trPr>
        <w:tc>
          <w:tcPr>
            <w:tcW w:w="568" w:type="dxa"/>
            <w:vMerge w:val="continue"/>
            <w:shd w:val="clear" w:color="auto" w:fill="FFFFFF"/>
            <w:vAlign w:val="center"/>
          </w:tcPr>
          <w:p>
            <w:pPr>
              <w:spacing w:line="240" w:lineRule="atLeast"/>
              <w:jc w:val="center"/>
              <w:rPr>
                <w:rFonts w:ascii="仿宋" w:hAnsi="仿宋" w:eastAsia="仿宋"/>
                <w:kern w:val="0"/>
                <w:sz w:val="22"/>
              </w:rPr>
            </w:pPr>
          </w:p>
        </w:tc>
        <w:tc>
          <w:tcPr>
            <w:tcW w:w="791"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组织实施</w:t>
            </w:r>
          </w:p>
          <w:p>
            <w:pPr>
              <w:spacing w:line="240" w:lineRule="atLeast"/>
              <w:jc w:val="center"/>
              <w:rPr>
                <w:rFonts w:ascii="仿宋" w:hAnsi="仿宋" w:eastAsia="仿宋"/>
                <w:kern w:val="0"/>
                <w:sz w:val="22"/>
              </w:rPr>
            </w:pPr>
            <w:r>
              <w:rPr>
                <w:rFonts w:hint="eastAsia" w:ascii="仿宋" w:hAnsi="仿宋" w:eastAsia="仿宋" w:cs="宋体"/>
                <w:kern w:val="0"/>
                <w:sz w:val="22"/>
              </w:rPr>
              <w:t>　</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管理制度</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健全性</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项目实施单位的财务和业务管理制度是否健全，用以反映和考核财务和业务管理制度对项目顺利实施的保障情况。</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①是否已制定或具有相应的财务和业务管理制度；</w:t>
            </w:r>
            <w:r>
              <w:rPr>
                <w:rFonts w:hint="eastAsia" w:ascii="仿宋" w:hAnsi="仿宋" w:eastAsia="仿宋" w:cs="宋体"/>
                <w:kern w:val="0"/>
                <w:sz w:val="22"/>
              </w:rPr>
              <w:br w:type="textWrapping"/>
            </w:r>
            <w:r>
              <w:rPr>
                <w:rFonts w:hint="eastAsia" w:ascii="仿宋" w:hAnsi="仿宋" w:eastAsia="仿宋" w:cs="宋体"/>
                <w:kern w:val="0"/>
                <w:sz w:val="22"/>
              </w:rPr>
              <w:t>②财务和业务管理制度是否合法、合规、完整。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57" w:hRule="atLeast"/>
          <w:jc w:val="center"/>
        </w:trPr>
        <w:tc>
          <w:tcPr>
            <w:tcW w:w="568" w:type="dxa"/>
            <w:vMerge w:val="continue"/>
            <w:shd w:val="clear" w:color="auto" w:fill="FFFFFF"/>
            <w:vAlign w:val="center"/>
          </w:tcPr>
          <w:p>
            <w:pPr>
              <w:widowControl/>
              <w:spacing w:line="240" w:lineRule="atLeast"/>
              <w:jc w:val="center"/>
              <w:rPr>
                <w:rFonts w:ascii="仿宋" w:hAnsi="仿宋" w:eastAsia="仿宋"/>
                <w:kern w:val="0"/>
                <w:sz w:val="22"/>
              </w:rPr>
            </w:pPr>
          </w:p>
        </w:tc>
        <w:tc>
          <w:tcPr>
            <w:tcW w:w="791" w:type="dxa"/>
            <w:vMerge w:val="continue"/>
            <w:shd w:val="clear" w:color="auto" w:fill="FFFFFF"/>
            <w:vAlign w:val="center"/>
          </w:tcPr>
          <w:p>
            <w:pPr>
              <w:widowControl/>
              <w:spacing w:line="240" w:lineRule="atLeast"/>
              <w:jc w:val="center"/>
              <w:rPr>
                <w:rFonts w:ascii="仿宋" w:hAnsi="仿宋" w:eastAsia="仿宋"/>
                <w:kern w:val="0"/>
                <w:sz w:val="22"/>
              </w:rPr>
            </w:pP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制度执行</w:t>
            </w:r>
          </w:p>
          <w:p>
            <w:pPr>
              <w:widowControl/>
              <w:spacing w:line="240" w:lineRule="atLeast"/>
              <w:jc w:val="center"/>
              <w:rPr>
                <w:rFonts w:ascii="仿宋" w:hAnsi="仿宋" w:eastAsia="仿宋"/>
                <w:kern w:val="0"/>
                <w:sz w:val="22"/>
              </w:rPr>
            </w:pPr>
            <w:r>
              <w:rPr>
                <w:rFonts w:hint="eastAsia" w:ascii="仿宋" w:hAnsi="仿宋" w:eastAsia="仿宋" w:cs="宋体"/>
                <w:kern w:val="0"/>
                <w:sz w:val="22"/>
              </w:rPr>
              <w:t>有效性</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项目实施是否符合相关管理规定，用以反映和考核相关管理制度的有效执行情况。</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评价要点：</w:t>
            </w:r>
            <w:r>
              <w:rPr>
                <w:rFonts w:hint="eastAsia" w:ascii="仿宋" w:hAnsi="仿宋" w:eastAsia="仿宋" w:cs="宋体"/>
                <w:kern w:val="0"/>
                <w:sz w:val="22"/>
              </w:rPr>
              <w:br w:type="textWrapping"/>
            </w:r>
            <w:r>
              <w:rPr>
                <w:rFonts w:hint="eastAsia" w:ascii="仿宋" w:hAnsi="仿宋" w:eastAsia="仿宋" w:cs="宋体"/>
                <w:kern w:val="0"/>
                <w:sz w:val="22"/>
              </w:rPr>
              <w:t>①是否遵守相关法律法规和相关管理规定；</w:t>
            </w:r>
            <w:r>
              <w:rPr>
                <w:rFonts w:hint="eastAsia" w:ascii="仿宋" w:hAnsi="仿宋" w:eastAsia="仿宋" w:cs="宋体"/>
                <w:kern w:val="0"/>
                <w:sz w:val="22"/>
              </w:rPr>
              <w:br w:type="textWrapping"/>
            </w:r>
            <w:r>
              <w:rPr>
                <w:rFonts w:hint="eastAsia" w:ascii="仿宋" w:hAnsi="仿宋" w:eastAsia="仿宋" w:cs="宋体"/>
                <w:kern w:val="0"/>
                <w:sz w:val="22"/>
              </w:rPr>
              <w:t>②项目调整及支出调整手续是否完备；</w:t>
            </w:r>
            <w:r>
              <w:rPr>
                <w:rFonts w:hint="eastAsia" w:ascii="仿宋" w:hAnsi="仿宋" w:eastAsia="仿宋" w:cs="宋体"/>
                <w:kern w:val="0"/>
                <w:sz w:val="22"/>
              </w:rPr>
              <w:br w:type="textWrapping"/>
            </w:r>
            <w:r>
              <w:rPr>
                <w:rFonts w:hint="eastAsia" w:ascii="仿宋" w:hAnsi="仿宋" w:eastAsia="仿宋" w:cs="宋体"/>
                <w:kern w:val="0"/>
                <w:sz w:val="22"/>
              </w:rPr>
              <w:t>③项目合同书、验收报告、技术鉴定等资料是否齐全并及时归档；</w:t>
            </w:r>
            <w:r>
              <w:rPr>
                <w:rFonts w:hint="eastAsia" w:ascii="仿宋" w:hAnsi="仿宋" w:eastAsia="仿宋" w:cs="宋体"/>
                <w:kern w:val="0"/>
                <w:sz w:val="22"/>
              </w:rPr>
              <w:br w:type="textWrapping"/>
            </w:r>
            <w:r>
              <w:rPr>
                <w:rFonts w:hint="eastAsia" w:ascii="仿宋" w:hAnsi="仿宋" w:eastAsia="仿宋" w:cs="宋体"/>
                <w:kern w:val="0"/>
                <w:sz w:val="22"/>
              </w:rPr>
              <w:t>④项目实施的人员条件、场地设备、信息支撑等是否落实到位。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51" w:hRule="atLeast"/>
          <w:jc w:val="center"/>
        </w:trPr>
        <w:tc>
          <w:tcPr>
            <w:tcW w:w="568"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产出</w:t>
            </w:r>
          </w:p>
        </w:tc>
        <w:tc>
          <w:tcPr>
            <w:tcW w:w="79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产出数量</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实际完成率</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项目实施的实际产出数与计划产出数的比率，用以反映和考核项目产出数量目标的实现程度。</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实际完成率=（实际产出数/计划产出数）×100%。</w:t>
            </w:r>
            <w:r>
              <w:rPr>
                <w:rFonts w:hint="eastAsia" w:ascii="仿宋" w:hAnsi="仿宋" w:eastAsia="仿宋" w:cs="宋体"/>
                <w:kern w:val="0"/>
                <w:sz w:val="22"/>
              </w:rPr>
              <w:br w:type="textWrapping"/>
            </w:r>
            <w:r>
              <w:rPr>
                <w:rFonts w:hint="eastAsia" w:ascii="仿宋" w:hAnsi="仿宋" w:eastAsia="仿宋" w:cs="宋体"/>
                <w:kern w:val="0"/>
                <w:sz w:val="22"/>
              </w:rPr>
              <w:t>实际产出数：一定时期（本年度或项目期）内项目实际产出的产品或提供的服务数量。</w:t>
            </w:r>
            <w:r>
              <w:rPr>
                <w:rFonts w:hint="eastAsia" w:ascii="仿宋" w:hAnsi="仿宋" w:eastAsia="仿宋" w:cs="宋体"/>
                <w:kern w:val="0"/>
                <w:sz w:val="22"/>
              </w:rPr>
              <w:br w:type="textWrapping"/>
            </w:r>
            <w:r>
              <w:rPr>
                <w:rFonts w:hint="eastAsia" w:ascii="仿宋" w:hAnsi="仿宋" w:eastAsia="仿宋" w:cs="宋体"/>
                <w:kern w:val="0"/>
                <w:sz w:val="22"/>
              </w:rPr>
              <w:t>计划产出数：项目绩效目标确定的在一定时期（本年度或项目期）内计划产出的产品或提供的服务数量。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24" w:hRule="atLeast"/>
          <w:jc w:val="center"/>
        </w:trPr>
        <w:tc>
          <w:tcPr>
            <w:tcW w:w="568"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产出</w:t>
            </w:r>
          </w:p>
        </w:tc>
        <w:tc>
          <w:tcPr>
            <w:tcW w:w="79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产出质量</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质量达标率</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项目完成的质量达标产出数与实际产出数的比率，用以反映和考核项目产出质量目标的实现程度。</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质量达标率=（质量达标产出数/实际产出数）×100%。</w:t>
            </w:r>
          </w:p>
          <w:p>
            <w:pPr>
              <w:widowControl/>
              <w:spacing w:line="240" w:lineRule="atLeast"/>
              <w:rPr>
                <w:rFonts w:ascii="仿宋" w:hAnsi="仿宋" w:eastAsia="仿宋"/>
                <w:kern w:val="0"/>
                <w:sz w:val="22"/>
              </w:rPr>
            </w:pPr>
            <w:r>
              <w:rPr>
                <w:rFonts w:hint="eastAsia" w:ascii="仿宋" w:hAnsi="仿宋" w:eastAsia="仿宋" w:cs="宋体"/>
                <w:kern w:val="0"/>
                <w:sz w:val="22"/>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52" w:hRule="atLeast"/>
          <w:jc w:val="center"/>
        </w:trPr>
        <w:tc>
          <w:tcPr>
            <w:tcW w:w="568" w:type="dxa"/>
            <w:vMerge w:val="continue"/>
            <w:shd w:val="clear" w:color="auto" w:fill="FFFFFF"/>
            <w:vAlign w:val="center"/>
          </w:tcPr>
          <w:p>
            <w:pPr>
              <w:spacing w:line="240" w:lineRule="atLeast"/>
              <w:jc w:val="center"/>
              <w:rPr>
                <w:rFonts w:ascii="仿宋" w:hAnsi="仿宋" w:eastAsia="仿宋"/>
                <w:kern w:val="0"/>
                <w:sz w:val="22"/>
              </w:rPr>
            </w:pPr>
          </w:p>
        </w:tc>
        <w:tc>
          <w:tcPr>
            <w:tcW w:w="791" w:type="dxa"/>
            <w:shd w:val="clear" w:color="auto" w:fill="FFFFFF"/>
            <w:vAlign w:val="center"/>
          </w:tcPr>
          <w:p>
            <w:pPr>
              <w:spacing w:line="240" w:lineRule="atLeast"/>
              <w:jc w:val="center"/>
              <w:rPr>
                <w:rFonts w:ascii="仿宋" w:hAnsi="仿宋" w:eastAsia="仿宋"/>
                <w:kern w:val="0"/>
                <w:sz w:val="22"/>
              </w:rPr>
            </w:pPr>
            <w:r>
              <w:rPr>
                <w:rFonts w:hint="eastAsia" w:ascii="仿宋" w:hAnsi="仿宋" w:eastAsia="仿宋" w:cs="宋体"/>
                <w:kern w:val="0"/>
                <w:sz w:val="22"/>
              </w:rPr>
              <w:t>产出时效</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完成及时性</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项目实际完成时间与计划完成时间的比较，用以反映和考核项目产出时效目标的实现程度。</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实际完成时间：项目实施单位完成该项目实际所耗用的时间。</w:t>
            </w:r>
            <w:r>
              <w:rPr>
                <w:rFonts w:hint="eastAsia" w:ascii="仿宋" w:hAnsi="仿宋" w:eastAsia="仿宋" w:cs="宋体"/>
                <w:kern w:val="0"/>
                <w:sz w:val="22"/>
              </w:rPr>
              <w:br w:type="textWrapping"/>
            </w:r>
            <w:r>
              <w:rPr>
                <w:rFonts w:hint="eastAsia" w:ascii="仿宋" w:hAnsi="仿宋" w:eastAsia="仿宋" w:cs="宋体"/>
                <w:kern w:val="0"/>
                <w:sz w:val="22"/>
              </w:rPr>
              <w:t>计划完成时间：按照项目实施计划或相关规定完成该项目所需的时间。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53" w:hRule="atLeast"/>
          <w:jc w:val="center"/>
        </w:trPr>
        <w:tc>
          <w:tcPr>
            <w:tcW w:w="568" w:type="dxa"/>
            <w:vMerge w:val="continue"/>
            <w:shd w:val="clear" w:color="auto" w:fill="FFFFFF"/>
            <w:vAlign w:val="center"/>
          </w:tcPr>
          <w:p>
            <w:pPr>
              <w:widowControl/>
              <w:spacing w:line="240" w:lineRule="atLeast"/>
              <w:jc w:val="center"/>
              <w:rPr>
                <w:rFonts w:ascii="仿宋" w:hAnsi="仿宋" w:eastAsia="仿宋"/>
                <w:kern w:val="0"/>
                <w:sz w:val="22"/>
              </w:rPr>
            </w:pPr>
          </w:p>
        </w:tc>
        <w:tc>
          <w:tcPr>
            <w:tcW w:w="79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产出成本</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成本节约率</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完成项目计划工作目标的实际节约成本与计划成本的比率，用以反映和考核项目的成本节约程度。</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br w:type="textWrapping"/>
            </w:r>
            <w:r>
              <w:rPr>
                <w:rFonts w:hint="eastAsia" w:ascii="仿宋" w:hAnsi="仿宋" w:eastAsia="仿宋" w:cs="宋体"/>
                <w:kern w:val="0"/>
                <w:sz w:val="22"/>
              </w:rPr>
              <w:t>成本节约率=[（计划成本-实际成本）/计划成本]×100%。</w:t>
            </w:r>
            <w:r>
              <w:rPr>
                <w:rFonts w:hint="eastAsia" w:ascii="仿宋" w:hAnsi="仿宋" w:eastAsia="仿宋" w:cs="宋体"/>
                <w:kern w:val="0"/>
                <w:sz w:val="22"/>
              </w:rPr>
              <w:br w:type="textWrapping"/>
            </w:r>
            <w:r>
              <w:rPr>
                <w:rFonts w:hint="eastAsia" w:ascii="仿宋" w:hAnsi="仿宋" w:eastAsia="仿宋" w:cs="宋体"/>
                <w:kern w:val="0"/>
                <w:sz w:val="22"/>
              </w:rPr>
              <w:t>实际成本：项目实施单位如期、保质、保量完成既定工作目标实际所耗费的支出。</w:t>
            </w:r>
            <w:r>
              <w:rPr>
                <w:rFonts w:hint="eastAsia" w:ascii="仿宋" w:hAnsi="仿宋" w:eastAsia="仿宋" w:cs="宋体"/>
                <w:kern w:val="0"/>
                <w:sz w:val="22"/>
              </w:rPr>
              <w:br w:type="textWrapping"/>
            </w:r>
            <w:r>
              <w:rPr>
                <w:rFonts w:hint="eastAsia" w:ascii="仿宋" w:hAnsi="仿宋" w:eastAsia="仿宋" w:cs="宋体"/>
                <w:kern w:val="0"/>
                <w:sz w:val="22"/>
              </w:rPr>
              <w:t>计划成本：项目实施单位为完成工作目标计划安排的支出，一般以项目预算为参考。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5" w:hRule="atLeast"/>
          <w:jc w:val="center"/>
        </w:trPr>
        <w:tc>
          <w:tcPr>
            <w:tcW w:w="568"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效益　</w:t>
            </w:r>
          </w:p>
        </w:tc>
        <w:tc>
          <w:tcPr>
            <w:tcW w:w="791" w:type="dxa"/>
            <w:vMerge w:val="restart"/>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项目效益　</w:t>
            </w: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实施效益</w:t>
            </w:r>
          </w:p>
        </w:tc>
        <w:tc>
          <w:tcPr>
            <w:tcW w:w="1841" w:type="dxa"/>
            <w:shd w:val="clear" w:color="auto" w:fill="FFFFFF"/>
            <w:vAlign w:val="center"/>
          </w:tcPr>
          <w:p>
            <w:pPr>
              <w:widowControl/>
              <w:spacing w:line="240" w:lineRule="atLeast"/>
              <w:jc w:val="left"/>
              <w:rPr>
                <w:rFonts w:ascii="仿宋" w:hAnsi="仿宋" w:eastAsia="仿宋"/>
                <w:kern w:val="0"/>
                <w:sz w:val="22"/>
              </w:rPr>
            </w:pPr>
            <w:r>
              <w:rPr>
                <w:rFonts w:hint="eastAsia" w:ascii="仿宋" w:hAnsi="仿宋" w:eastAsia="仿宋" w:cs="宋体"/>
                <w:kern w:val="0"/>
                <w:sz w:val="22"/>
              </w:rPr>
              <w:t>项目实施所产生的效益。</w:t>
            </w:r>
          </w:p>
        </w:tc>
        <w:tc>
          <w:tcPr>
            <w:tcW w:w="4847" w:type="dxa"/>
            <w:shd w:val="clear" w:color="auto"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项目实施所产生的社会效益、经济效益、生态效益、可持续影响等。可根据项目实际情况有选择地设置和细化。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26" w:hRule="atLeast"/>
          <w:jc w:val="center"/>
        </w:trPr>
        <w:tc>
          <w:tcPr>
            <w:tcW w:w="568" w:type="dxa"/>
            <w:vMerge w:val="continue"/>
            <w:shd w:val="clear" w:color="auto" w:fill="FFFFFF"/>
            <w:vAlign w:val="center"/>
          </w:tcPr>
          <w:p>
            <w:pPr>
              <w:widowControl/>
              <w:spacing w:line="240" w:lineRule="atLeast"/>
              <w:jc w:val="center"/>
              <w:rPr>
                <w:rFonts w:ascii="仿宋" w:hAnsi="仿宋" w:eastAsia="仿宋"/>
                <w:kern w:val="0"/>
                <w:sz w:val="22"/>
              </w:rPr>
            </w:pPr>
          </w:p>
        </w:tc>
        <w:tc>
          <w:tcPr>
            <w:tcW w:w="791" w:type="dxa"/>
            <w:vMerge w:val="continue"/>
            <w:shd w:val="clear" w:color="auto" w:fill="FFFFFF"/>
            <w:vAlign w:val="center"/>
          </w:tcPr>
          <w:p>
            <w:pPr>
              <w:widowControl/>
              <w:spacing w:line="240" w:lineRule="atLeast"/>
              <w:jc w:val="center"/>
              <w:rPr>
                <w:rFonts w:ascii="仿宋" w:hAnsi="仿宋" w:eastAsia="仿宋"/>
                <w:kern w:val="0"/>
                <w:sz w:val="22"/>
              </w:rPr>
            </w:pPr>
          </w:p>
        </w:tc>
        <w:tc>
          <w:tcPr>
            <w:tcW w:w="931" w:type="dxa"/>
            <w:shd w:val="clear" w:color="auto" w:fill="FFFFFF"/>
            <w:vAlign w:val="center"/>
          </w:tcPr>
          <w:p>
            <w:pPr>
              <w:widowControl/>
              <w:spacing w:line="240" w:lineRule="atLeast"/>
              <w:jc w:val="center"/>
              <w:rPr>
                <w:rFonts w:ascii="仿宋" w:hAnsi="仿宋" w:eastAsia="仿宋"/>
                <w:kern w:val="0"/>
                <w:sz w:val="22"/>
              </w:rPr>
            </w:pPr>
            <w:r>
              <w:rPr>
                <w:rFonts w:hint="eastAsia" w:ascii="仿宋" w:hAnsi="仿宋" w:eastAsia="仿宋" w:cs="宋体"/>
                <w:kern w:val="0"/>
                <w:sz w:val="22"/>
              </w:rPr>
              <w:t>满意度</w:t>
            </w:r>
          </w:p>
        </w:tc>
        <w:tc>
          <w:tcPr>
            <w:tcW w:w="1841"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社会公众或服务对象对项目实施效果的满意程度。</w:t>
            </w:r>
          </w:p>
        </w:tc>
        <w:tc>
          <w:tcPr>
            <w:tcW w:w="4847" w:type="dxa"/>
            <w:shd w:val="clear" w:color="000000" w:fill="FFFFFF"/>
            <w:vAlign w:val="center"/>
          </w:tcPr>
          <w:p>
            <w:pPr>
              <w:widowControl/>
              <w:spacing w:line="240" w:lineRule="atLeast"/>
              <w:rPr>
                <w:rFonts w:ascii="仿宋" w:hAnsi="仿宋" w:eastAsia="仿宋"/>
                <w:kern w:val="0"/>
                <w:sz w:val="22"/>
              </w:rPr>
            </w:pPr>
            <w:r>
              <w:rPr>
                <w:rFonts w:hint="eastAsia" w:ascii="仿宋" w:hAnsi="仿宋" w:eastAsia="仿宋" w:cs="宋体"/>
                <w:kern w:val="0"/>
                <w:sz w:val="22"/>
              </w:rPr>
              <w:t>社会公众或服务对象是指因该项目实施而受到影响的部门（单位）、群体或个人。一般采取社会调查的方式。</w:t>
            </w:r>
          </w:p>
        </w:tc>
      </w:tr>
    </w:tbl>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2、</w:t>
      </w:r>
      <w:r>
        <w:rPr>
          <w:rFonts w:hint="eastAsia" w:ascii="宋体" w:hAnsi="宋体" w:cs="宋体"/>
          <w:sz w:val="32"/>
          <w:szCs w:val="24"/>
        </w:rPr>
        <w:t>评价方法及标准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以预先制定的目标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计划</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预算</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定额等作为评价标准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用定量与定性评价相结合的比较法</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总分由各项指标得分汇总形成</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定量指标得分按照以下方法评定</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与年初指标值相比</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完成指标值的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记该指标所赋全部分值</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对完成值高于指标值较多的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要分析原因</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如果是由于年初指标值设定明显偏低造成的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要按照偏离度适度调减分值</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未完成指标值的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按照完成值与指标值的比例记分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定性指标得分按照以下方法评定</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根据指标完成情况分为达成年度指标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部分达成年度指标并具有一定效果</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未达成年度指标且效果较差三档</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分别按照该指标对应分值区间</w:t>
      </w:r>
      <w:r>
        <w:rPr>
          <w:rFonts w:hint="eastAsia" w:ascii="仿宋_GB2312" w:hAnsi="Times New Roman" w:eastAsia="仿宋_GB2312"/>
          <w:sz w:val="32"/>
          <w:szCs w:val="24"/>
        </w:rPr>
        <w:t>100%-80%（</w:t>
      </w:r>
      <w:r>
        <w:rPr>
          <w:rFonts w:hint="eastAsia" w:ascii="宋体" w:hAnsi="宋体" w:cs="宋体"/>
          <w:sz w:val="32"/>
          <w:szCs w:val="24"/>
        </w:rPr>
        <w:t>含</w:t>
      </w:r>
      <w:r>
        <w:rPr>
          <w:rFonts w:hint="eastAsia" w:ascii="Malgun Gothic Semilight" w:hAnsi="Malgun Gothic Semilight" w:eastAsia="Malgun Gothic Semilight" w:cs="Malgun Gothic Semilight"/>
          <w:sz w:val="32"/>
          <w:szCs w:val="24"/>
        </w:rPr>
        <w:t>）、</w:t>
      </w:r>
      <w:r>
        <w:rPr>
          <w:rFonts w:hint="eastAsia" w:ascii="仿宋_GB2312" w:hAnsi="Times New Roman" w:eastAsia="仿宋_GB2312"/>
          <w:sz w:val="32"/>
          <w:szCs w:val="24"/>
        </w:rPr>
        <w:t>80%-60%（</w:t>
      </w:r>
      <w:r>
        <w:rPr>
          <w:rFonts w:hint="eastAsia" w:ascii="宋体" w:hAnsi="宋体" w:cs="宋体"/>
          <w:sz w:val="32"/>
          <w:szCs w:val="24"/>
        </w:rPr>
        <w:t>含</w:t>
      </w:r>
      <w:r>
        <w:rPr>
          <w:rFonts w:hint="eastAsia" w:ascii="Malgun Gothic Semilight" w:hAnsi="Malgun Gothic Semilight" w:eastAsia="Malgun Gothic Semilight" w:cs="Malgun Gothic Semilight"/>
          <w:sz w:val="32"/>
          <w:szCs w:val="24"/>
        </w:rPr>
        <w:t>）、</w:t>
      </w:r>
      <w:r>
        <w:rPr>
          <w:rFonts w:hint="eastAsia" w:ascii="仿宋_GB2312" w:hAnsi="Times New Roman" w:eastAsia="仿宋_GB2312"/>
          <w:sz w:val="32"/>
          <w:szCs w:val="24"/>
        </w:rPr>
        <w:t>60%-0%</w:t>
      </w:r>
      <w:r>
        <w:rPr>
          <w:rFonts w:hint="eastAsia" w:ascii="宋体" w:hAnsi="宋体" w:cs="宋体"/>
          <w:sz w:val="32"/>
          <w:szCs w:val="24"/>
        </w:rPr>
        <w:t>合理确定分值</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三</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绩效评价工作过程</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1、</w:t>
      </w:r>
      <w:r>
        <w:rPr>
          <w:rFonts w:hint="eastAsia" w:ascii="宋体" w:hAnsi="宋体" w:cs="宋体"/>
          <w:sz w:val="32"/>
          <w:szCs w:val="24"/>
        </w:rPr>
        <w:t>新荣村农田水利工程成立绩效评价小组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由村书记担任组长</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村主任担任副组长</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村委委员</w:t>
      </w:r>
      <w:r>
        <w:rPr>
          <w:rFonts w:hint="eastAsia" w:ascii="仿宋_GB2312" w:hAnsi="Times New Roman" w:eastAsia="仿宋_GB2312"/>
          <w:sz w:val="32"/>
          <w:szCs w:val="24"/>
        </w:rPr>
        <w:t>5</w:t>
      </w:r>
      <w:r>
        <w:rPr>
          <w:rFonts w:hint="eastAsia" w:ascii="宋体" w:hAnsi="宋体" w:cs="宋体"/>
          <w:sz w:val="32"/>
          <w:szCs w:val="24"/>
        </w:rPr>
        <w:t>人担任组员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确定绩效评价对象和范围</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2、</w:t>
      </w:r>
      <w:r>
        <w:rPr>
          <w:rFonts w:hint="eastAsia" w:ascii="宋体" w:hAnsi="宋体" w:cs="宋体"/>
          <w:sz w:val="32"/>
          <w:szCs w:val="24"/>
        </w:rPr>
        <w:t>绩效目标评价小组及时向涉及项目的人员传达绩效评价通知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各人员及时整理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归档项目申报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预算</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竣工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验收等手续</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3、</w:t>
      </w:r>
      <w:r>
        <w:rPr>
          <w:rFonts w:hint="eastAsia" w:ascii="宋体" w:hAnsi="宋体" w:cs="宋体"/>
          <w:sz w:val="32"/>
          <w:szCs w:val="24"/>
        </w:rPr>
        <w:t>新荣村农田水利工程绩效评价小组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研究制订绩效评价工作方案</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4、</w:t>
      </w:r>
      <w:r>
        <w:rPr>
          <w:rFonts w:hint="eastAsia" w:ascii="宋体" w:hAnsi="宋体" w:cs="宋体"/>
          <w:sz w:val="32"/>
          <w:szCs w:val="24"/>
        </w:rPr>
        <w:t>绩效评价小组按照绩效评价的具体要求</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及时收集绩效评价相关数据资料</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对项目的社会效益进行督查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评价</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5、</w:t>
      </w:r>
      <w:r>
        <w:rPr>
          <w:rFonts w:hint="eastAsia" w:ascii="宋体" w:hAnsi="宋体" w:cs="宋体"/>
          <w:sz w:val="32"/>
          <w:szCs w:val="24"/>
        </w:rPr>
        <w:t>核实有关情况</w:t>
      </w:r>
      <w:r>
        <w:rPr>
          <w:rFonts w:hint="eastAsia" w:ascii="仿宋_GB2312" w:hAnsi="Times New Roman" w:eastAsia="仿宋_GB2312"/>
          <w:sz w:val="32"/>
          <w:szCs w:val="24"/>
        </w:rPr>
        <w:t>，</w:t>
      </w:r>
      <w:r>
        <w:rPr>
          <w:rFonts w:hint="eastAsia" w:ascii="宋体" w:hAnsi="宋体" w:cs="宋体"/>
          <w:sz w:val="32"/>
          <w:szCs w:val="24"/>
        </w:rPr>
        <w:t>分析形成初步结论</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6、</w:t>
      </w:r>
      <w:r>
        <w:rPr>
          <w:rFonts w:hint="eastAsia" w:ascii="宋体" w:hAnsi="宋体" w:cs="宋体"/>
          <w:sz w:val="32"/>
          <w:szCs w:val="24"/>
        </w:rPr>
        <w:t>与被评价项目人员交换意见</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7、</w:t>
      </w:r>
      <w:r>
        <w:rPr>
          <w:rFonts w:hint="eastAsia" w:ascii="宋体" w:hAnsi="宋体" w:cs="宋体"/>
          <w:sz w:val="32"/>
          <w:szCs w:val="24"/>
        </w:rPr>
        <w:t>综合分析并形成最终结论</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8、</w:t>
      </w:r>
      <w:r>
        <w:rPr>
          <w:rFonts w:hint="eastAsia" w:ascii="宋体" w:hAnsi="宋体" w:cs="宋体"/>
          <w:sz w:val="32"/>
          <w:szCs w:val="24"/>
        </w:rPr>
        <w:t>提交绩效评价报告</w:t>
      </w:r>
      <w:r>
        <w:rPr>
          <w:rFonts w:hint="eastAsia" w:ascii="Malgun Gothic Semilight" w:hAnsi="Malgun Gothic Semilight" w:eastAsia="Malgun Gothic Semilight" w:cs="Malgun Gothic Semilight"/>
          <w:sz w:val="32"/>
          <w:szCs w:val="24"/>
        </w:rPr>
        <w:t>。</w:t>
      </w:r>
    </w:p>
    <w:p>
      <w:pPr>
        <w:pStyle w:val="2"/>
        <w:shd w:val="clear" w:color="auto" w:fill="FFFFFF"/>
        <w:spacing w:before="0" w:beforeAutospacing="0" w:after="0" w:afterAutospacing="0" w:line="240" w:lineRule="atLeast"/>
        <w:jc w:val="both"/>
        <w:rPr>
          <w:rFonts w:ascii="仿宋" w:hAnsi="仿宋" w:eastAsia="仿宋"/>
          <w:b/>
          <w:sz w:val="32"/>
          <w:szCs w:val="32"/>
        </w:rPr>
      </w:pPr>
      <w:r>
        <w:rPr>
          <w:rFonts w:hint="eastAsia" w:ascii="仿宋" w:hAnsi="仿宋" w:eastAsia="仿宋"/>
          <w:b/>
          <w:sz w:val="32"/>
          <w:szCs w:val="32"/>
        </w:rPr>
        <w:t>三、综合评价情况及评价结论（附相关评分表）</w:t>
      </w:r>
    </w:p>
    <w:p>
      <w:pPr>
        <w:spacing w:line="240" w:lineRule="atLeast"/>
        <w:ind w:firstLine="560" w:firstLineChars="200"/>
        <w:outlineLvl w:val="0"/>
        <w:rPr>
          <w:rFonts w:ascii="仿宋" w:hAnsi="仿宋" w:eastAsia="仿宋" w:cs="宋体"/>
          <w:kern w:val="0"/>
          <w:sz w:val="28"/>
          <w:szCs w:val="19"/>
        </w:rPr>
      </w:pPr>
      <w:r>
        <w:rPr>
          <w:rFonts w:hint="eastAsia" w:ascii="仿宋" w:hAnsi="仿宋" w:eastAsia="仿宋" w:cs="宋体"/>
          <w:kern w:val="0"/>
          <w:sz w:val="28"/>
          <w:szCs w:val="19"/>
        </w:rPr>
        <w:t>（一）综合评价情况表</w:t>
      </w:r>
    </w:p>
    <w:tbl>
      <w:tblPr>
        <w:tblStyle w:val="3"/>
        <w:tblW w:w="10065" w:type="dxa"/>
        <w:tblInd w:w="-459" w:type="dxa"/>
        <w:tblLayout w:type="fixed"/>
        <w:tblCellMar>
          <w:top w:w="0" w:type="dxa"/>
          <w:left w:w="108" w:type="dxa"/>
          <w:bottom w:w="0" w:type="dxa"/>
          <w:right w:w="108" w:type="dxa"/>
        </w:tblCellMar>
      </w:tblPr>
      <w:tblGrid>
        <w:gridCol w:w="367"/>
        <w:gridCol w:w="880"/>
        <w:gridCol w:w="560"/>
        <w:gridCol w:w="560"/>
        <w:gridCol w:w="2480"/>
        <w:gridCol w:w="1040"/>
        <w:gridCol w:w="1140"/>
        <w:gridCol w:w="344"/>
        <w:gridCol w:w="916"/>
        <w:gridCol w:w="920"/>
        <w:gridCol w:w="291"/>
        <w:gridCol w:w="567"/>
      </w:tblGrid>
      <w:tr>
        <w:tblPrEx>
          <w:tblCellMar>
            <w:top w:w="0" w:type="dxa"/>
            <w:left w:w="108" w:type="dxa"/>
            <w:bottom w:w="0" w:type="dxa"/>
            <w:right w:w="108" w:type="dxa"/>
          </w:tblCellMar>
        </w:tblPrEx>
        <w:trPr>
          <w:trHeight w:val="540" w:hRule="atLeast"/>
        </w:trPr>
        <w:tc>
          <w:tcPr>
            <w:tcW w:w="180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项目名称</w:t>
            </w:r>
          </w:p>
        </w:tc>
        <w:tc>
          <w:tcPr>
            <w:tcW w:w="4080" w:type="dxa"/>
            <w:gridSpan w:val="3"/>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新荣村农田水利工程</w:t>
            </w:r>
          </w:p>
        </w:tc>
        <w:tc>
          <w:tcPr>
            <w:tcW w:w="1484"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项目负责人及电话</w:t>
            </w:r>
          </w:p>
        </w:tc>
        <w:tc>
          <w:tcPr>
            <w:tcW w:w="2694"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王海龙</w:t>
            </w:r>
            <w:r>
              <w:rPr>
                <w:rFonts w:ascii="宋体" w:hAnsi="宋体"/>
                <w:kern w:val="0"/>
                <w:sz w:val="20"/>
                <w:szCs w:val="24"/>
              </w:rPr>
              <w:t xml:space="preserve"> 13847854799</w:t>
            </w:r>
          </w:p>
        </w:tc>
      </w:tr>
      <w:tr>
        <w:tblPrEx>
          <w:tblCellMar>
            <w:top w:w="0" w:type="dxa"/>
            <w:left w:w="108" w:type="dxa"/>
            <w:bottom w:w="0" w:type="dxa"/>
            <w:right w:w="108" w:type="dxa"/>
          </w:tblCellMar>
        </w:tblPrEx>
        <w:trPr>
          <w:trHeight w:val="499" w:hRule="atLeast"/>
        </w:trPr>
        <w:tc>
          <w:tcPr>
            <w:tcW w:w="180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主管部门</w:t>
            </w:r>
          </w:p>
        </w:tc>
        <w:tc>
          <w:tcPr>
            <w:tcW w:w="4080" w:type="dxa"/>
            <w:gridSpan w:val="3"/>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临河区财政局</w:t>
            </w:r>
          </w:p>
        </w:tc>
        <w:tc>
          <w:tcPr>
            <w:tcW w:w="1484"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实施单位</w:t>
            </w:r>
          </w:p>
        </w:tc>
        <w:tc>
          <w:tcPr>
            <w:tcW w:w="2694"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双河镇</w:t>
            </w:r>
          </w:p>
        </w:tc>
      </w:tr>
      <w:tr>
        <w:tblPrEx>
          <w:tblCellMar>
            <w:top w:w="0" w:type="dxa"/>
            <w:left w:w="108" w:type="dxa"/>
            <w:bottom w:w="0" w:type="dxa"/>
            <w:right w:w="108" w:type="dxa"/>
          </w:tblCellMar>
        </w:tblPrEx>
        <w:trPr>
          <w:trHeight w:val="499" w:hRule="atLeast"/>
        </w:trPr>
        <w:tc>
          <w:tcPr>
            <w:tcW w:w="1807"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资金情况（万元）</w:t>
            </w:r>
          </w:p>
        </w:tc>
        <w:tc>
          <w:tcPr>
            <w:tcW w:w="3040" w:type="dxa"/>
            <w:gridSpan w:val="2"/>
            <w:tcBorders>
              <w:top w:val="single" w:color="000000" w:sz="4" w:space="0"/>
              <w:left w:val="nil"/>
              <w:bottom w:val="single" w:color="000000" w:sz="4" w:space="0"/>
              <w:right w:val="single" w:color="000000" w:sz="4" w:space="0"/>
            </w:tcBorders>
            <w:vAlign w:val="center"/>
          </w:tcPr>
          <w:p>
            <w:pPr>
              <w:widowControl/>
              <w:jc w:val="left"/>
              <w:rPr>
                <w:rFonts w:ascii="宋体" w:hAnsi="宋体"/>
                <w:kern w:val="0"/>
                <w:sz w:val="20"/>
                <w:szCs w:val="24"/>
              </w:rPr>
            </w:pPr>
            <w:r>
              <w:rPr>
                <w:rFonts w:hint="eastAsia" w:ascii="宋体" w:hAnsi="宋体"/>
                <w:kern w:val="0"/>
                <w:sz w:val="20"/>
                <w:szCs w:val="24"/>
              </w:rPr>
              <w:t>　</w:t>
            </w:r>
          </w:p>
        </w:tc>
        <w:tc>
          <w:tcPr>
            <w:tcW w:w="10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全年预算数（</w:t>
            </w:r>
            <w:r>
              <w:rPr>
                <w:rFonts w:ascii="宋体" w:hAnsi="宋体"/>
                <w:kern w:val="0"/>
                <w:sz w:val="20"/>
                <w:szCs w:val="24"/>
              </w:rPr>
              <w:t>A</w:t>
            </w:r>
            <w:r>
              <w:rPr>
                <w:rFonts w:hint="eastAsia" w:ascii="宋体" w:hAnsi="宋体"/>
                <w:kern w:val="0"/>
                <w:sz w:val="20"/>
                <w:szCs w:val="24"/>
              </w:rPr>
              <w:t>）</w:t>
            </w:r>
          </w:p>
        </w:tc>
        <w:tc>
          <w:tcPr>
            <w:tcW w:w="1484"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全年执行数（</w:t>
            </w:r>
            <w:r>
              <w:rPr>
                <w:rFonts w:ascii="宋体" w:hAnsi="宋体"/>
                <w:kern w:val="0"/>
                <w:sz w:val="20"/>
                <w:szCs w:val="24"/>
              </w:rPr>
              <w:t>B</w:t>
            </w:r>
            <w:r>
              <w:rPr>
                <w:rFonts w:hint="eastAsia" w:ascii="宋体" w:hAnsi="宋体"/>
                <w:kern w:val="0"/>
                <w:sz w:val="20"/>
                <w:szCs w:val="24"/>
              </w:rPr>
              <w:t>）</w:t>
            </w:r>
          </w:p>
        </w:tc>
        <w:tc>
          <w:tcPr>
            <w:tcW w:w="916"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分值</w:t>
            </w:r>
          </w:p>
        </w:tc>
        <w:tc>
          <w:tcPr>
            <w:tcW w:w="1211"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执行率（</w:t>
            </w:r>
            <w:r>
              <w:rPr>
                <w:rFonts w:ascii="宋体" w:hAnsi="宋体"/>
                <w:kern w:val="0"/>
                <w:sz w:val="20"/>
                <w:szCs w:val="24"/>
              </w:rPr>
              <w:t xml:space="preserve">B/A) </w:t>
            </w:r>
          </w:p>
        </w:tc>
        <w:tc>
          <w:tcPr>
            <w:tcW w:w="567"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得分</w:t>
            </w:r>
          </w:p>
        </w:tc>
      </w:tr>
      <w:tr>
        <w:tblPrEx>
          <w:tblCellMar>
            <w:top w:w="0" w:type="dxa"/>
            <w:left w:w="108" w:type="dxa"/>
            <w:bottom w:w="0" w:type="dxa"/>
            <w:right w:w="108" w:type="dxa"/>
          </w:tblCellMar>
        </w:tblPrEx>
        <w:trPr>
          <w:trHeight w:val="499" w:hRule="atLeast"/>
        </w:trPr>
        <w:tc>
          <w:tcPr>
            <w:tcW w:w="1807"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304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年度资金总额：</w:t>
            </w:r>
          </w:p>
        </w:tc>
        <w:tc>
          <w:tcPr>
            <w:tcW w:w="10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600.71</w:t>
            </w:r>
          </w:p>
        </w:tc>
        <w:tc>
          <w:tcPr>
            <w:tcW w:w="1484"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559.36</w:t>
            </w:r>
          </w:p>
        </w:tc>
        <w:tc>
          <w:tcPr>
            <w:tcW w:w="916"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211"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93.11%</w:t>
            </w:r>
          </w:p>
        </w:tc>
        <w:tc>
          <w:tcPr>
            <w:tcW w:w="567"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8</w:t>
            </w:r>
          </w:p>
        </w:tc>
      </w:tr>
      <w:tr>
        <w:tblPrEx>
          <w:tblCellMar>
            <w:top w:w="0" w:type="dxa"/>
            <w:left w:w="108" w:type="dxa"/>
            <w:bottom w:w="0" w:type="dxa"/>
            <w:right w:w="108" w:type="dxa"/>
          </w:tblCellMar>
        </w:tblPrEx>
        <w:trPr>
          <w:trHeight w:val="499" w:hRule="atLeast"/>
        </w:trPr>
        <w:tc>
          <w:tcPr>
            <w:tcW w:w="1807"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304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其中：本年财政拨款</w:t>
            </w:r>
          </w:p>
        </w:tc>
        <w:tc>
          <w:tcPr>
            <w:tcW w:w="10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600.71</w:t>
            </w:r>
          </w:p>
        </w:tc>
        <w:tc>
          <w:tcPr>
            <w:tcW w:w="1484"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559.36</w:t>
            </w:r>
          </w:p>
        </w:tc>
        <w:tc>
          <w:tcPr>
            <w:tcW w:w="916"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211"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93.11%</w:t>
            </w:r>
          </w:p>
        </w:tc>
        <w:tc>
          <w:tcPr>
            <w:tcW w:w="567"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8</w:t>
            </w:r>
          </w:p>
        </w:tc>
      </w:tr>
      <w:tr>
        <w:tblPrEx>
          <w:tblCellMar>
            <w:top w:w="0" w:type="dxa"/>
            <w:left w:w="108" w:type="dxa"/>
            <w:bottom w:w="0" w:type="dxa"/>
            <w:right w:w="108" w:type="dxa"/>
          </w:tblCellMar>
        </w:tblPrEx>
        <w:trPr>
          <w:trHeight w:val="425" w:hRule="atLeast"/>
        </w:trPr>
        <w:tc>
          <w:tcPr>
            <w:tcW w:w="1807"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304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其他资金</w:t>
            </w:r>
          </w:p>
        </w:tc>
        <w:tc>
          <w:tcPr>
            <w:tcW w:w="10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0</w:t>
            </w:r>
          </w:p>
        </w:tc>
        <w:tc>
          <w:tcPr>
            <w:tcW w:w="1484"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0</w:t>
            </w:r>
          </w:p>
        </w:tc>
        <w:tc>
          <w:tcPr>
            <w:tcW w:w="916"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 xml:space="preserve">- </w:t>
            </w:r>
          </w:p>
        </w:tc>
        <w:tc>
          <w:tcPr>
            <w:tcW w:w="1211"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c>
          <w:tcPr>
            <w:tcW w:w="567"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 xml:space="preserve">- </w:t>
            </w:r>
          </w:p>
        </w:tc>
      </w:tr>
      <w:tr>
        <w:tblPrEx>
          <w:tblCellMar>
            <w:top w:w="0" w:type="dxa"/>
            <w:left w:w="108" w:type="dxa"/>
            <w:bottom w:w="0" w:type="dxa"/>
            <w:right w:w="108" w:type="dxa"/>
          </w:tblCellMar>
        </w:tblPrEx>
        <w:trPr>
          <w:trHeight w:val="499" w:hRule="atLeast"/>
        </w:trPr>
        <w:tc>
          <w:tcPr>
            <w:tcW w:w="367" w:type="dxa"/>
            <w:vMerge w:val="restart"/>
            <w:tcBorders>
              <w:top w:val="nil"/>
              <w:left w:val="single" w:color="000000" w:sz="4" w:space="0"/>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年度总体目标</w:t>
            </w:r>
          </w:p>
        </w:tc>
        <w:tc>
          <w:tcPr>
            <w:tcW w:w="5520" w:type="dxa"/>
            <w:gridSpan w:val="5"/>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年初设定目标</w:t>
            </w:r>
          </w:p>
        </w:tc>
        <w:tc>
          <w:tcPr>
            <w:tcW w:w="4178" w:type="dxa"/>
            <w:gridSpan w:val="6"/>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年度总体目标完成情况综述</w:t>
            </w:r>
          </w:p>
        </w:tc>
      </w:tr>
      <w:tr>
        <w:tblPrEx>
          <w:tblCellMar>
            <w:top w:w="0" w:type="dxa"/>
            <w:left w:w="108" w:type="dxa"/>
            <w:bottom w:w="0" w:type="dxa"/>
            <w:right w:w="108" w:type="dxa"/>
          </w:tblCellMar>
        </w:tblPrEx>
        <w:trPr>
          <w:trHeight w:val="1020"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5520" w:type="dxa"/>
            <w:gridSpan w:val="5"/>
            <w:tcBorders>
              <w:top w:val="single" w:color="000000" w:sz="4" w:space="0"/>
              <w:left w:val="nil"/>
              <w:bottom w:val="single" w:color="000000" w:sz="4" w:space="0"/>
              <w:right w:val="single" w:color="000000" w:sz="4" w:space="0"/>
            </w:tcBorders>
            <w:vAlign w:val="center"/>
          </w:tcPr>
          <w:p>
            <w:pPr>
              <w:widowControl/>
              <w:jc w:val="left"/>
              <w:rPr>
                <w:rFonts w:ascii="宋体" w:hAnsi="宋体"/>
                <w:kern w:val="0"/>
                <w:sz w:val="20"/>
                <w:szCs w:val="24"/>
              </w:rPr>
            </w:pPr>
            <w:r>
              <w:rPr>
                <w:rFonts w:hint="eastAsia" w:ascii="宋体" w:hAnsi="宋体"/>
                <w:kern w:val="0"/>
                <w:sz w:val="20"/>
                <w:szCs w:val="24"/>
              </w:rPr>
              <w:t>有助于提高水资源的利用率</w:t>
            </w:r>
            <w:r>
              <w:rPr>
                <w:rFonts w:ascii="宋体" w:hAnsi="宋体"/>
                <w:kern w:val="0"/>
                <w:sz w:val="20"/>
                <w:szCs w:val="24"/>
              </w:rPr>
              <w:t>,</w:t>
            </w:r>
            <w:r>
              <w:rPr>
                <w:rFonts w:hint="eastAsia" w:ascii="宋体" w:hAnsi="宋体"/>
                <w:kern w:val="0"/>
                <w:sz w:val="20"/>
                <w:szCs w:val="24"/>
              </w:rPr>
              <w:t>有效保持水土</w:t>
            </w:r>
            <w:r>
              <w:rPr>
                <w:rFonts w:ascii="宋体" w:hAnsi="宋体"/>
                <w:kern w:val="0"/>
                <w:sz w:val="20"/>
                <w:szCs w:val="24"/>
              </w:rPr>
              <w:t>,</w:t>
            </w:r>
            <w:r>
              <w:rPr>
                <w:rFonts w:hint="eastAsia" w:ascii="宋体" w:hAnsi="宋体"/>
                <w:kern w:val="0"/>
                <w:sz w:val="20"/>
                <w:szCs w:val="24"/>
              </w:rPr>
              <w:t>减少水土流失的危害</w:t>
            </w:r>
            <w:r>
              <w:rPr>
                <w:rFonts w:ascii="宋体" w:hAnsi="宋体"/>
                <w:kern w:val="0"/>
                <w:sz w:val="20"/>
                <w:szCs w:val="24"/>
              </w:rPr>
              <w:t>,</w:t>
            </w:r>
            <w:r>
              <w:rPr>
                <w:rFonts w:hint="eastAsia" w:ascii="宋体" w:hAnsi="宋体"/>
                <w:kern w:val="0"/>
                <w:sz w:val="20"/>
                <w:szCs w:val="24"/>
              </w:rPr>
              <w:t>提高农业产品的质量</w:t>
            </w:r>
            <w:r>
              <w:rPr>
                <w:rFonts w:ascii="宋体" w:hAnsi="宋体"/>
                <w:kern w:val="0"/>
                <w:sz w:val="20"/>
                <w:szCs w:val="24"/>
              </w:rPr>
              <w:t>,</w:t>
            </w:r>
            <w:r>
              <w:rPr>
                <w:rFonts w:hint="eastAsia" w:ascii="宋体" w:hAnsi="宋体"/>
                <w:kern w:val="0"/>
                <w:sz w:val="20"/>
                <w:szCs w:val="24"/>
              </w:rPr>
              <w:t>取得良好的土地整理效果</w:t>
            </w:r>
          </w:p>
        </w:tc>
        <w:tc>
          <w:tcPr>
            <w:tcW w:w="4178" w:type="dxa"/>
            <w:gridSpan w:val="6"/>
            <w:tcBorders>
              <w:top w:val="single" w:color="000000" w:sz="4" w:space="0"/>
              <w:left w:val="nil"/>
              <w:bottom w:val="nil"/>
              <w:right w:val="single" w:color="000000" w:sz="4" w:space="0"/>
            </w:tcBorders>
            <w:vAlign w:val="center"/>
          </w:tcPr>
          <w:p>
            <w:pPr>
              <w:widowControl/>
              <w:jc w:val="left"/>
              <w:rPr>
                <w:rFonts w:ascii="宋体" w:hAnsi="宋体"/>
                <w:kern w:val="0"/>
                <w:sz w:val="20"/>
                <w:szCs w:val="24"/>
              </w:rPr>
            </w:pPr>
            <w:r>
              <w:rPr>
                <w:rFonts w:hint="eastAsia" w:ascii="宋体" w:hAnsi="宋体"/>
                <w:kern w:val="0"/>
                <w:sz w:val="20"/>
                <w:szCs w:val="24"/>
              </w:rPr>
              <w:t>提高了水资源的利用率</w:t>
            </w:r>
            <w:r>
              <w:rPr>
                <w:rFonts w:ascii="宋体" w:hAnsi="宋体"/>
                <w:kern w:val="0"/>
                <w:sz w:val="20"/>
                <w:szCs w:val="24"/>
              </w:rPr>
              <w:t>,</w:t>
            </w:r>
            <w:r>
              <w:rPr>
                <w:rFonts w:hint="eastAsia" w:ascii="宋体" w:hAnsi="宋体"/>
                <w:kern w:val="0"/>
                <w:sz w:val="20"/>
                <w:szCs w:val="24"/>
              </w:rPr>
              <w:t>有效保持水土</w:t>
            </w:r>
            <w:r>
              <w:rPr>
                <w:rFonts w:ascii="宋体" w:hAnsi="宋体"/>
                <w:kern w:val="0"/>
                <w:sz w:val="20"/>
                <w:szCs w:val="24"/>
              </w:rPr>
              <w:t>,</w:t>
            </w:r>
            <w:r>
              <w:rPr>
                <w:rFonts w:hint="eastAsia" w:ascii="宋体" w:hAnsi="宋体"/>
                <w:kern w:val="0"/>
                <w:sz w:val="20"/>
                <w:szCs w:val="24"/>
              </w:rPr>
              <w:t>减少了水土流失的危害</w:t>
            </w:r>
            <w:r>
              <w:rPr>
                <w:rFonts w:ascii="宋体" w:hAnsi="宋体"/>
                <w:kern w:val="0"/>
                <w:sz w:val="20"/>
                <w:szCs w:val="24"/>
              </w:rPr>
              <w:t>,</w:t>
            </w:r>
            <w:r>
              <w:rPr>
                <w:rFonts w:hint="eastAsia" w:ascii="宋体" w:hAnsi="宋体"/>
                <w:kern w:val="0"/>
                <w:sz w:val="20"/>
                <w:szCs w:val="24"/>
              </w:rPr>
              <w:t>提高了农业产品的质量</w:t>
            </w:r>
            <w:r>
              <w:rPr>
                <w:rFonts w:ascii="宋体" w:hAnsi="宋体"/>
                <w:kern w:val="0"/>
                <w:sz w:val="20"/>
                <w:szCs w:val="24"/>
              </w:rPr>
              <w:t>,</w:t>
            </w:r>
            <w:r>
              <w:rPr>
                <w:rFonts w:hint="eastAsia" w:ascii="宋体" w:hAnsi="宋体"/>
                <w:kern w:val="0"/>
                <w:sz w:val="20"/>
                <w:szCs w:val="24"/>
              </w:rPr>
              <w:t>取得了良好的土地整理效果，解决了村民浇水难题，为村民增产增收。</w:t>
            </w:r>
          </w:p>
        </w:tc>
      </w:tr>
      <w:tr>
        <w:tblPrEx>
          <w:tblCellMar>
            <w:top w:w="0" w:type="dxa"/>
            <w:left w:w="108" w:type="dxa"/>
            <w:bottom w:w="0" w:type="dxa"/>
            <w:right w:w="108" w:type="dxa"/>
          </w:tblCellMar>
        </w:tblPrEx>
        <w:trPr>
          <w:trHeight w:val="1223" w:hRule="atLeast"/>
        </w:trPr>
        <w:tc>
          <w:tcPr>
            <w:tcW w:w="367" w:type="dxa"/>
            <w:vMerge w:val="restart"/>
            <w:tcBorders>
              <w:top w:val="nil"/>
              <w:left w:val="single" w:color="000000" w:sz="4" w:space="0"/>
              <w:bottom w:val="single" w:color="000000" w:sz="4" w:space="0"/>
              <w:right w:val="single" w:color="000000" w:sz="4" w:space="0"/>
            </w:tcBorders>
            <w:textDirection w:val="tbRlV"/>
            <w:vAlign w:val="center"/>
          </w:tcPr>
          <w:p>
            <w:pPr>
              <w:widowControl/>
              <w:jc w:val="center"/>
              <w:rPr>
                <w:rFonts w:ascii="宋体" w:hAnsi="宋体"/>
                <w:kern w:val="0"/>
                <w:sz w:val="20"/>
                <w:szCs w:val="24"/>
              </w:rPr>
            </w:pPr>
            <w:r>
              <w:rPr>
                <w:rFonts w:hint="eastAsia" w:ascii="宋体" w:hAnsi="宋体"/>
                <w:kern w:val="0"/>
                <w:sz w:val="20"/>
                <w:szCs w:val="24"/>
              </w:rPr>
              <w:t>绩效指标</w:t>
            </w:r>
          </w:p>
        </w:tc>
        <w:tc>
          <w:tcPr>
            <w:tcW w:w="8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一级指标</w:t>
            </w:r>
          </w:p>
        </w:tc>
        <w:tc>
          <w:tcPr>
            <w:tcW w:w="1120" w:type="dxa"/>
            <w:gridSpan w:val="2"/>
            <w:tcBorders>
              <w:top w:val="single" w:color="000000" w:sz="4" w:space="0"/>
              <w:left w:val="nil"/>
              <w:bottom w:val="nil"/>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二级指标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三级指标</w:t>
            </w:r>
          </w:p>
        </w:tc>
        <w:tc>
          <w:tcPr>
            <w:tcW w:w="1040" w:type="dxa"/>
            <w:tcBorders>
              <w:top w:val="nil"/>
              <w:left w:val="nil"/>
              <w:bottom w:val="single" w:color="000000" w:sz="4" w:space="0"/>
              <w:right w:val="nil"/>
            </w:tcBorders>
            <w:vAlign w:val="center"/>
          </w:tcPr>
          <w:p>
            <w:pPr>
              <w:widowControl/>
              <w:jc w:val="center"/>
              <w:rPr>
                <w:rFonts w:ascii="宋体" w:hAnsi="宋体"/>
                <w:kern w:val="0"/>
                <w:sz w:val="20"/>
                <w:szCs w:val="24"/>
              </w:rPr>
            </w:pPr>
            <w:r>
              <w:rPr>
                <w:rFonts w:hint="eastAsia" w:ascii="宋体" w:hAnsi="宋体"/>
                <w:kern w:val="0"/>
                <w:sz w:val="20"/>
                <w:szCs w:val="24"/>
              </w:rPr>
              <w:t>年度指标值</w:t>
            </w:r>
          </w:p>
        </w:tc>
        <w:tc>
          <w:tcPr>
            <w:tcW w:w="11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kern w:val="0"/>
                <w:sz w:val="20"/>
                <w:szCs w:val="24"/>
              </w:rPr>
            </w:pPr>
            <w:r>
              <w:rPr>
                <w:rFonts w:hint="eastAsia" w:ascii="宋体" w:hAnsi="宋体"/>
                <w:kern w:val="0"/>
                <w:sz w:val="20"/>
                <w:szCs w:val="24"/>
              </w:rPr>
              <w:t>全年实际值</w:t>
            </w:r>
          </w:p>
        </w:tc>
        <w:tc>
          <w:tcPr>
            <w:tcW w:w="12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kern w:val="0"/>
                <w:sz w:val="20"/>
                <w:szCs w:val="24"/>
              </w:rPr>
            </w:pPr>
            <w:r>
              <w:rPr>
                <w:rFonts w:hint="eastAsia" w:ascii="宋体" w:hAnsi="宋体"/>
                <w:kern w:val="0"/>
                <w:sz w:val="20"/>
                <w:szCs w:val="24"/>
              </w:rPr>
              <w:t>分值</w:t>
            </w:r>
          </w:p>
        </w:tc>
        <w:tc>
          <w:tcPr>
            <w:tcW w:w="920" w:type="dxa"/>
            <w:tcBorders>
              <w:top w:val="single" w:color="auto" w:sz="4" w:space="0"/>
              <w:left w:val="nil"/>
              <w:bottom w:val="single" w:color="auto" w:sz="4" w:space="0"/>
              <w:right w:val="single" w:color="auto" w:sz="4" w:space="0"/>
            </w:tcBorders>
            <w:vAlign w:val="center"/>
          </w:tcPr>
          <w:p>
            <w:pPr>
              <w:widowControl/>
              <w:jc w:val="center"/>
              <w:rPr>
                <w:rFonts w:ascii="宋体" w:hAnsi="宋体"/>
                <w:kern w:val="0"/>
                <w:sz w:val="20"/>
                <w:szCs w:val="24"/>
              </w:rPr>
            </w:pPr>
            <w:r>
              <w:rPr>
                <w:rFonts w:hint="eastAsia" w:ascii="宋体" w:hAnsi="宋体"/>
                <w:kern w:val="0"/>
                <w:sz w:val="20"/>
                <w:szCs w:val="24"/>
              </w:rPr>
              <w:t>得分</w:t>
            </w:r>
          </w:p>
        </w:tc>
        <w:tc>
          <w:tcPr>
            <w:tcW w:w="858"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kern w:val="0"/>
                <w:sz w:val="18"/>
                <w:szCs w:val="24"/>
              </w:rPr>
            </w:pPr>
            <w:r>
              <w:rPr>
                <w:rFonts w:hint="eastAsia" w:ascii="宋体" w:hAnsi="宋体"/>
                <w:kern w:val="0"/>
                <w:sz w:val="18"/>
                <w:szCs w:val="24"/>
              </w:rPr>
              <w:t>未完成原因及拟采取的改进措施</w:t>
            </w:r>
          </w:p>
        </w:tc>
      </w:tr>
      <w:tr>
        <w:tblPrEx>
          <w:tblCellMar>
            <w:top w:w="0" w:type="dxa"/>
            <w:left w:w="108" w:type="dxa"/>
            <w:bottom w:w="0" w:type="dxa"/>
            <w:right w:w="108" w:type="dxa"/>
          </w:tblCellMar>
        </w:tblPrEx>
        <w:trPr>
          <w:trHeight w:val="499"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restart"/>
            <w:tcBorders>
              <w:top w:val="nil"/>
              <w:left w:val="single" w:color="000000" w:sz="4" w:space="0"/>
              <w:bottom w:val="nil"/>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产出指标</w:t>
            </w:r>
            <w:r>
              <w:rPr>
                <w:rFonts w:ascii="宋体" w:hAnsi="宋体"/>
                <w:kern w:val="0"/>
                <w:sz w:val="20"/>
                <w:szCs w:val="24"/>
              </w:rPr>
              <w:t>(50</w:t>
            </w:r>
            <w:r>
              <w:rPr>
                <w:rFonts w:hint="eastAsia" w:ascii="宋体" w:hAnsi="宋体"/>
                <w:kern w:val="0"/>
                <w:sz w:val="20"/>
                <w:szCs w:val="24"/>
              </w:rPr>
              <w:t>分</w:t>
            </w:r>
            <w:r>
              <w:rPr>
                <w:rFonts w:ascii="宋体" w:hAnsi="宋体"/>
                <w:kern w:val="0"/>
                <w:sz w:val="20"/>
                <w:szCs w:val="24"/>
              </w:rPr>
              <w:t xml:space="preserve">) </w:t>
            </w:r>
          </w:p>
        </w:tc>
        <w:tc>
          <w:tcPr>
            <w:tcW w:w="1120" w:type="dxa"/>
            <w:gridSpan w:val="2"/>
            <w:vMerge w:val="restart"/>
            <w:tcBorders>
              <w:top w:val="single" w:color="auto" w:sz="4" w:space="0"/>
              <w:left w:val="single" w:color="auto" w:sz="4" w:space="0"/>
              <w:bottom w:val="nil"/>
              <w:right w:val="single" w:color="auto" w:sz="4" w:space="0"/>
            </w:tcBorders>
            <w:vAlign w:val="center"/>
          </w:tcPr>
          <w:p>
            <w:pPr>
              <w:widowControl/>
              <w:jc w:val="center"/>
              <w:rPr>
                <w:rFonts w:ascii="宋体" w:hAnsi="宋体"/>
                <w:kern w:val="0"/>
                <w:sz w:val="20"/>
                <w:szCs w:val="24"/>
              </w:rPr>
            </w:pPr>
            <w:r>
              <w:rPr>
                <w:rFonts w:hint="eastAsia" w:ascii="宋体" w:hAnsi="宋体"/>
                <w:kern w:val="0"/>
                <w:sz w:val="20"/>
                <w:szCs w:val="24"/>
              </w:rPr>
              <w:t>数量指标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灌渠提升公益性水利设施重建维修养护数量≥</w:t>
            </w:r>
            <w:r>
              <w:rPr>
                <w:rFonts w:ascii="宋体" w:hAnsi="宋体"/>
                <w:kern w:val="0"/>
                <w:sz w:val="20"/>
                <w:szCs w:val="24"/>
              </w:rPr>
              <w:t>73</w:t>
            </w:r>
            <w:r>
              <w:rPr>
                <w:rFonts w:hint="eastAsia" w:ascii="宋体" w:hAnsi="宋体"/>
                <w:kern w:val="0"/>
                <w:sz w:val="20"/>
                <w:szCs w:val="24"/>
              </w:rPr>
              <w:t>座</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84</w:t>
            </w:r>
            <w:r>
              <w:rPr>
                <w:rFonts w:hint="eastAsia" w:ascii="宋体" w:hAnsi="宋体"/>
                <w:kern w:val="0"/>
                <w:sz w:val="20"/>
                <w:szCs w:val="24"/>
              </w:rPr>
              <w:t>座</w:t>
            </w:r>
          </w:p>
        </w:tc>
        <w:tc>
          <w:tcPr>
            <w:tcW w:w="1260" w:type="dxa"/>
            <w:gridSpan w:val="2"/>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858" w:type="dxa"/>
            <w:gridSpan w:val="2"/>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499"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0"/>
                <w:szCs w:val="24"/>
              </w:rPr>
            </w:pPr>
          </w:p>
        </w:tc>
        <w:tc>
          <w:tcPr>
            <w:tcW w:w="1120" w:type="dxa"/>
            <w:gridSpan w:val="2"/>
            <w:vMerge w:val="continue"/>
            <w:tcBorders>
              <w:top w:val="nil"/>
              <w:left w:val="single" w:color="auto" w:sz="4" w:space="0"/>
              <w:bottom w:val="nil"/>
              <w:right w:val="single" w:color="auto" w:sz="4" w:space="0"/>
            </w:tcBorders>
            <w:vAlign w:val="center"/>
          </w:tcPr>
          <w:p>
            <w:pPr>
              <w:widowControl/>
              <w:jc w:val="left"/>
              <w:rPr>
                <w:rFonts w:ascii="宋体" w:hAnsi="宋体"/>
                <w:kern w:val="0"/>
                <w:sz w:val="20"/>
                <w:szCs w:val="24"/>
              </w:rPr>
            </w:pP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设备维修数量≥</w:t>
            </w:r>
            <w:r>
              <w:rPr>
                <w:rFonts w:ascii="宋体" w:hAnsi="宋体"/>
                <w:kern w:val="0"/>
                <w:sz w:val="20"/>
                <w:szCs w:val="24"/>
              </w:rPr>
              <w:t>2</w:t>
            </w:r>
            <w:r>
              <w:rPr>
                <w:rFonts w:hint="eastAsia" w:ascii="宋体" w:hAnsi="宋体"/>
                <w:kern w:val="0"/>
                <w:sz w:val="20"/>
                <w:szCs w:val="24"/>
              </w:rPr>
              <w:t>座</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2</w:t>
            </w:r>
            <w:r>
              <w:rPr>
                <w:rFonts w:hint="eastAsia" w:ascii="宋体" w:hAnsi="宋体"/>
                <w:kern w:val="0"/>
                <w:sz w:val="20"/>
                <w:szCs w:val="24"/>
              </w:rPr>
              <w:t>座</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499"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0"/>
                <w:szCs w:val="24"/>
              </w:rPr>
            </w:pPr>
          </w:p>
        </w:tc>
        <w:tc>
          <w:tcPr>
            <w:tcW w:w="1120" w:type="dxa"/>
            <w:gridSpan w:val="2"/>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kern w:val="0"/>
                <w:sz w:val="20"/>
                <w:szCs w:val="24"/>
              </w:rPr>
            </w:pP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引水渠节水改造长度≥</w:t>
            </w:r>
            <w:r>
              <w:rPr>
                <w:rFonts w:ascii="宋体" w:hAnsi="宋体"/>
                <w:kern w:val="0"/>
                <w:sz w:val="20"/>
                <w:szCs w:val="24"/>
              </w:rPr>
              <w:t>6.264</w:t>
            </w:r>
            <w:r>
              <w:rPr>
                <w:rFonts w:hint="eastAsia" w:ascii="宋体" w:hAnsi="宋体"/>
                <w:kern w:val="0"/>
                <w:sz w:val="20"/>
                <w:szCs w:val="24"/>
              </w:rPr>
              <w:t>公里</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6.384</w:t>
            </w:r>
            <w:r>
              <w:rPr>
                <w:rFonts w:hint="eastAsia" w:ascii="宋体" w:hAnsi="宋体"/>
                <w:kern w:val="0"/>
                <w:sz w:val="20"/>
                <w:szCs w:val="24"/>
              </w:rPr>
              <w:t>公里</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p>
        </w:tc>
      </w:tr>
      <w:tr>
        <w:tblPrEx>
          <w:tblCellMar>
            <w:top w:w="0" w:type="dxa"/>
            <w:left w:w="108" w:type="dxa"/>
            <w:bottom w:w="0" w:type="dxa"/>
            <w:right w:w="108" w:type="dxa"/>
          </w:tblCellMar>
        </w:tblPrEx>
        <w:trPr>
          <w:trHeight w:val="499"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0"/>
                <w:szCs w:val="24"/>
              </w:rPr>
            </w:pPr>
          </w:p>
        </w:tc>
        <w:tc>
          <w:tcPr>
            <w:tcW w:w="112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kern w:val="0"/>
                <w:sz w:val="20"/>
                <w:szCs w:val="24"/>
              </w:rPr>
            </w:pPr>
            <w:r>
              <w:rPr>
                <w:rFonts w:hint="eastAsia" w:ascii="宋体" w:hAnsi="宋体"/>
                <w:kern w:val="0"/>
                <w:sz w:val="20"/>
                <w:szCs w:val="24"/>
              </w:rPr>
              <w:t>质量指标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项目审计和施工合格率≥</w:t>
            </w:r>
            <w:r>
              <w:rPr>
                <w:rFonts w:ascii="宋体" w:hAnsi="宋体"/>
                <w:kern w:val="0"/>
                <w:sz w:val="20"/>
                <w:szCs w:val="24"/>
              </w:rPr>
              <w:t>95%</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项目审计和施工合格率</w:t>
            </w:r>
            <w:r>
              <w:rPr>
                <w:rFonts w:ascii="宋体" w:hAnsi="宋体"/>
                <w:kern w:val="0"/>
                <w:sz w:val="20"/>
                <w:szCs w:val="24"/>
              </w:rPr>
              <w:t>100%</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9</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9</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745"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0"/>
                <w:szCs w:val="24"/>
              </w:rPr>
            </w:pPr>
          </w:p>
        </w:tc>
        <w:tc>
          <w:tcPr>
            <w:tcW w:w="112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kern w:val="0"/>
                <w:sz w:val="20"/>
                <w:szCs w:val="24"/>
              </w:rPr>
            </w:pP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项目验收合格率≥</w:t>
            </w:r>
            <w:r>
              <w:rPr>
                <w:rFonts w:ascii="宋体" w:hAnsi="宋体"/>
                <w:kern w:val="0"/>
                <w:sz w:val="20"/>
                <w:szCs w:val="24"/>
              </w:rPr>
              <w:t>98%</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项目验收合格率</w:t>
            </w:r>
            <w:r>
              <w:rPr>
                <w:rFonts w:ascii="宋体" w:hAnsi="宋体"/>
                <w:kern w:val="0"/>
                <w:sz w:val="20"/>
                <w:szCs w:val="24"/>
              </w:rPr>
              <w:t>100%</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499"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0"/>
                <w:szCs w:val="24"/>
              </w:rPr>
            </w:pPr>
          </w:p>
        </w:tc>
        <w:tc>
          <w:tcPr>
            <w:tcW w:w="1120" w:type="dxa"/>
            <w:gridSpan w:val="2"/>
            <w:tcBorders>
              <w:top w:val="nil"/>
              <w:left w:val="nil"/>
              <w:bottom w:val="nil"/>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成本指标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建设总成本低于</w:t>
            </w:r>
            <w:r>
              <w:rPr>
                <w:rFonts w:ascii="宋体" w:hAnsi="宋体"/>
                <w:kern w:val="0"/>
                <w:sz w:val="20"/>
                <w:szCs w:val="24"/>
              </w:rPr>
              <w:t>658.99</w:t>
            </w:r>
            <w:r>
              <w:rPr>
                <w:rFonts w:hint="eastAsia" w:ascii="宋体" w:hAnsi="宋体"/>
                <w:kern w:val="0"/>
                <w:sz w:val="20"/>
                <w:szCs w:val="24"/>
              </w:rPr>
              <w:t>万元</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600.716</w:t>
            </w:r>
            <w:r>
              <w:rPr>
                <w:rFonts w:hint="eastAsia" w:ascii="宋体" w:hAnsi="宋体"/>
                <w:kern w:val="0"/>
                <w:sz w:val="20"/>
                <w:szCs w:val="24"/>
              </w:rPr>
              <w:t>万元</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686"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效益指标</w:t>
            </w:r>
            <w:r>
              <w:rPr>
                <w:rFonts w:ascii="宋体" w:hAnsi="宋体"/>
                <w:kern w:val="0"/>
                <w:sz w:val="20"/>
                <w:szCs w:val="24"/>
              </w:rPr>
              <w:t>(30</w:t>
            </w:r>
            <w:r>
              <w:rPr>
                <w:rFonts w:hint="eastAsia" w:ascii="宋体" w:hAnsi="宋体"/>
                <w:kern w:val="0"/>
                <w:sz w:val="20"/>
                <w:szCs w:val="24"/>
              </w:rPr>
              <w:t>分</w:t>
            </w:r>
            <w:r>
              <w:rPr>
                <w:rFonts w:ascii="宋体" w:hAnsi="宋体"/>
                <w:kern w:val="0"/>
                <w:sz w:val="20"/>
                <w:szCs w:val="24"/>
              </w:rPr>
              <w:t>)</w:t>
            </w:r>
          </w:p>
        </w:tc>
        <w:tc>
          <w:tcPr>
            <w:tcW w:w="1120" w:type="dxa"/>
            <w:gridSpan w:val="2"/>
            <w:tcBorders>
              <w:top w:val="single" w:color="000000" w:sz="4" w:space="0"/>
              <w:left w:val="nil"/>
              <w:bottom w:val="nil"/>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社会效益指标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提高水资源的利用率</w:t>
            </w:r>
            <w:r>
              <w:rPr>
                <w:rFonts w:ascii="宋体" w:hAnsi="宋体"/>
                <w:kern w:val="0"/>
                <w:sz w:val="20"/>
                <w:szCs w:val="24"/>
              </w:rPr>
              <w:t>,</w:t>
            </w:r>
            <w:r>
              <w:rPr>
                <w:rFonts w:hint="eastAsia" w:ascii="宋体" w:hAnsi="宋体"/>
                <w:kern w:val="0"/>
                <w:sz w:val="20"/>
                <w:szCs w:val="24"/>
              </w:rPr>
              <w:t>提高了农业产品的质量</w:t>
            </w:r>
            <w:r>
              <w:rPr>
                <w:rFonts w:ascii="宋体" w:hAnsi="宋体"/>
                <w:kern w:val="0"/>
                <w:sz w:val="20"/>
                <w:szCs w:val="24"/>
              </w:rPr>
              <w:t>,</w:t>
            </w:r>
            <w:r>
              <w:rPr>
                <w:rFonts w:hint="eastAsia" w:ascii="宋体" w:hAnsi="宋体"/>
                <w:kern w:val="0"/>
                <w:sz w:val="20"/>
                <w:szCs w:val="24"/>
              </w:rPr>
              <w:t>解决了村民浇水难题，为村民增产增收。</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提高了水资源的利用率</w:t>
            </w:r>
            <w:r>
              <w:rPr>
                <w:rFonts w:ascii="宋体" w:hAnsi="宋体"/>
                <w:kern w:val="0"/>
                <w:sz w:val="20"/>
                <w:szCs w:val="24"/>
              </w:rPr>
              <w:t>,</w:t>
            </w:r>
            <w:r>
              <w:rPr>
                <w:rFonts w:hint="eastAsia" w:ascii="宋体" w:hAnsi="宋体"/>
                <w:kern w:val="0"/>
                <w:sz w:val="20"/>
                <w:szCs w:val="24"/>
              </w:rPr>
              <w:t>提高了农业产品的质量</w:t>
            </w:r>
            <w:r>
              <w:rPr>
                <w:rFonts w:ascii="宋体" w:hAnsi="宋体"/>
                <w:kern w:val="0"/>
                <w:sz w:val="20"/>
                <w:szCs w:val="24"/>
              </w:rPr>
              <w:t>,</w:t>
            </w:r>
            <w:r>
              <w:rPr>
                <w:rFonts w:hint="eastAsia" w:ascii="宋体" w:hAnsi="宋体"/>
                <w:kern w:val="0"/>
                <w:sz w:val="20"/>
                <w:szCs w:val="24"/>
              </w:rPr>
              <w:t>解决了村民浇水难题，为村民增产增收。</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8</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8</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499"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112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可持续影响指标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工程持续使用年限≥</w:t>
            </w:r>
            <w:r>
              <w:rPr>
                <w:rFonts w:ascii="宋体" w:hAnsi="宋体"/>
                <w:kern w:val="0"/>
                <w:sz w:val="20"/>
                <w:szCs w:val="24"/>
              </w:rPr>
              <w:t>10</w:t>
            </w:r>
            <w:r>
              <w:rPr>
                <w:rFonts w:hint="eastAsia" w:ascii="宋体" w:hAnsi="宋体"/>
                <w:kern w:val="0"/>
                <w:sz w:val="20"/>
                <w:szCs w:val="24"/>
              </w:rPr>
              <w:t>年</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工程持续使用年限</w:t>
            </w:r>
            <w:r>
              <w:rPr>
                <w:rFonts w:ascii="宋体" w:hAnsi="宋体"/>
                <w:kern w:val="0"/>
                <w:sz w:val="20"/>
                <w:szCs w:val="24"/>
              </w:rPr>
              <w:t>10</w:t>
            </w:r>
            <w:r>
              <w:rPr>
                <w:rFonts w:hint="eastAsia" w:ascii="宋体" w:hAnsi="宋体"/>
                <w:kern w:val="0"/>
                <w:sz w:val="20"/>
                <w:szCs w:val="24"/>
              </w:rPr>
              <w:t>年以上</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9.7</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9.7</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720" w:hRule="atLeast"/>
        </w:trPr>
        <w:tc>
          <w:tcPr>
            <w:tcW w:w="36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0"/>
                <w:szCs w:val="24"/>
              </w:rPr>
            </w:pPr>
          </w:p>
        </w:tc>
        <w:tc>
          <w:tcPr>
            <w:tcW w:w="8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满意度指标</w:t>
            </w:r>
            <w:r>
              <w:rPr>
                <w:rFonts w:ascii="宋体" w:hAnsi="宋体"/>
                <w:kern w:val="0"/>
                <w:sz w:val="20"/>
                <w:szCs w:val="24"/>
              </w:rPr>
              <w:t>(10</w:t>
            </w:r>
            <w:r>
              <w:rPr>
                <w:rFonts w:hint="eastAsia" w:ascii="宋体" w:hAnsi="宋体"/>
                <w:kern w:val="0"/>
                <w:sz w:val="20"/>
                <w:szCs w:val="24"/>
              </w:rPr>
              <w:t>分</w:t>
            </w:r>
            <w:r>
              <w:rPr>
                <w:rFonts w:ascii="宋体" w:hAnsi="宋体"/>
                <w:kern w:val="0"/>
                <w:sz w:val="20"/>
                <w:szCs w:val="24"/>
              </w:rPr>
              <w:t xml:space="preserve">) </w:t>
            </w:r>
          </w:p>
        </w:tc>
        <w:tc>
          <w:tcPr>
            <w:tcW w:w="112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服务对象满意度指标</w:t>
            </w:r>
          </w:p>
        </w:tc>
        <w:tc>
          <w:tcPr>
            <w:tcW w:w="248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村民满意度≥</w:t>
            </w:r>
            <w:r>
              <w:rPr>
                <w:rFonts w:ascii="宋体" w:hAnsi="宋体"/>
                <w:kern w:val="0"/>
                <w:sz w:val="20"/>
                <w:szCs w:val="24"/>
              </w:rPr>
              <w:t>95%</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10</w:t>
            </w:r>
          </w:p>
        </w:tc>
        <w:tc>
          <w:tcPr>
            <w:tcW w:w="114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村民满意度</w:t>
            </w:r>
            <w:r>
              <w:rPr>
                <w:rFonts w:ascii="宋体" w:hAnsi="宋体"/>
                <w:kern w:val="0"/>
                <w:sz w:val="20"/>
                <w:szCs w:val="24"/>
              </w:rPr>
              <w:t>97%</w:t>
            </w:r>
          </w:p>
        </w:tc>
        <w:tc>
          <w:tcPr>
            <w:tcW w:w="1260"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9.5</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9.5</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r>
        <w:tblPrEx>
          <w:tblCellMar>
            <w:top w:w="0" w:type="dxa"/>
            <w:left w:w="108" w:type="dxa"/>
            <w:bottom w:w="0" w:type="dxa"/>
            <w:right w:w="108" w:type="dxa"/>
          </w:tblCellMar>
        </w:tblPrEx>
        <w:trPr>
          <w:trHeight w:val="499" w:hRule="atLeast"/>
        </w:trPr>
        <w:tc>
          <w:tcPr>
            <w:tcW w:w="4847"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总分</w:t>
            </w:r>
          </w:p>
        </w:tc>
        <w:tc>
          <w:tcPr>
            <w:tcW w:w="1040" w:type="dxa"/>
            <w:tcBorders>
              <w:top w:val="nil"/>
              <w:left w:val="nil"/>
              <w:bottom w:val="single" w:color="auto" w:sz="4" w:space="0"/>
              <w:right w:val="single" w:color="auto" w:sz="4" w:space="0"/>
            </w:tcBorders>
            <w:vAlign w:val="center"/>
          </w:tcPr>
          <w:p>
            <w:pPr>
              <w:widowControl/>
              <w:jc w:val="center"/>
              <w:rPr>
                <w:rFonts w:ascii="宋体" w:hAnsi="宋体"/>
                <w:kern w:val="0"/>
                <w:sz w:val="20"/>
                <w:szCs w:val="24"/>
              </w:rPr>
            </w:pPr>
            <w:r>
              <w:rPr>
                <w:rFonts w:ascii="宋体" w:hAnsi="宋体"/>
                <w:kern w:val="0"/>
                <w:sz w:val="20"/>
                <w:szCs w:val="24"/>
              </w:rPr>
              <w:t>90</w:t>
            </w:r>
          </w:p>
        </w:tc>
        <w:tc>
          <w:tcPr>
            <w:tcW w:w="2400" w:type="dxa"/>
            <w:gridSpan w:val="3"/>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c>
          <w:tcPr>
            <w:tcW w:w="920" w:type="dxa"/>
            <w:tcBorders>
              <w:top w:val="nil"/>
              <w:left w:val="nil"/>
              <w:bottom w:val="single" w:color="000000" w:sz="4" w:space="0"/>
              <w:right w:val="single" w:color="000000" w:sz="4" w:space="0"/>
            </w:tcBorders>
            <w:vAlign w:val="center"/>
          </w:tcPr>
          <w:p>
            <w:pPr>
              <w:widowControl/>
              <w:jc w:val="center"/>
              <w:rPr>
                <w:rFonts w:ascii="宋体" w:hAnsi="宋体"/>
                <w:kern w:val="0"/>
                <w:sz w:val="20"/>
                <w:szCs w:val="24"/>
              </w:rPr>
            </w:pPr>
            <w:r>
              <w:rPr>
                <w:rFonts w:ascii="宋体" w:hAnsi="宋体"/>
                <w:kern w:val="0"/>
                <w:sz w:val="20"/>
                <w:szCs w:val="24"/>
              </w:rPr>
              <w:t>88.2</w:t>
            </w:r>
          </w:p>
        </w:tc>
        <w:tc>
          <w:tcPr>
            <w:tcW w:w="858"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kern w:val="0"/>
                <w:sz w:val="20"/>
                <w:szCs w:val="24"/>
              </w:rPr>
            </w:pPr>
            <w:r>
              <w:rPr>
                <w:rFonts w:hint="eastAsia" w:ascii="宋体" w:hAnsi="宋体"/>
                <w:kern w:val="0"/>
                <w:sz w:val="20"/>
                <w:szCs w:val="24"/>
              </w:rPr>
              <w:t>　</w:t>
            </w:r>
          </w:p>
        </w:tc>
      </w:tr>
    </w:tbl>
    <w:p>
      <w:pPr>
        <w:spacing w:line="240" w:lineRule="atLeast"/>
        <w:rPr>
          <w:rFonts w:ascii="仿宋" w:hAnsi="仿宋" w:eastAsia="仿宋" w:cs="宋体"/>
          <w:kern w:val="0"/>
          <w:sz w:val="28"/>
          <w:szCs w:val="19"/>
        </w:rPr>
      </w:pP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结论</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1、</w:t>
      </w:r>
      <w:r>
        <w:rPr>
          <w:rFonts w:hint="eastAsia" w:ascii="宋体" w:hAnsi="宋体" w:cs="宋体"/>
          <w:sz w:val="32"/>
          <w:szCs w:val="24"/>
        </w:rPr>
        <w:t>产出指标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新荣村农田水利工程灌渠提升公益性水利设施重建维修养护数量为</w:t>
      </w:r>
      <w:r>
        <w:rPr>
          <w:rFonts w:hint="eastAsia" w:ascii="仿宋_GB2312" w:hAnsi="Times New Roman" w:eastAsia="仿宋_GB2312"/>
          <w:sz w:val="32"/>
          <w:szCs w:val="24"/>
        </w:rPr>
        <w:t>84</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设备维修数量</w:t>
      </w:r>
      <w:r>
        <w:rPr>
          <w:rFonts w:ascii="仿宋_GB2312" w:hAnsi="Times New Roman" w:eastAsia="仿宋_GB2312"/>
          <w:sz w:val="32"/>
          <w:szCs w:val="24"/>
        </w:rPr>
        <w:t>2</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引水渠节水改造长度为</w:t>
      </w:r>
      <w:r>
        <w:rPr>
          <w:rFonts w:ascii="仿宋_GB2312" w:hAnsi="Times New Roman" w:eastAsia="仿宋_GB2312"/>
          <w:sz w:val="32"/>
          <w:szCs w:val="24"/>
        </w:rPr>
        <w:t>6.384</w:t>
      </w:r>
      <w:r>
        <w:rPr>
          <w:rFonts w:hint="eastAsia" w:ascii="宋体" w:hAnsi="宋体" w:cs="宋体"/>
          <w:sz w:val="32"/>
          <w:szCs w:val="24"/>
        </w:rPr>
        <w:t>公里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项目审计和施工合格率达</w:t>
      </w:r>
      <w:r>
        <w:rPr>
          <w:rFonts w:hint="eastAsia" w:ascii="仿宋_GB2312" w:hAnsi="Times New Roman" w:eastAsia="仿宋_GB2312"/>
          <w:sz w:val="32"/>
          <w:szCs w:val="24"/>
        </w:rPr>
        <w:t>100%，</w:t>
      </w:r>
      <w:r>
        <w:rPr>
          <w:rFonts w:hint="eastAsia" w:ascii="宋体" w:hAnsi="宋体" w:cs="宋体"/>
          <w:sz w:val="32"/>
          <w:szCs w:val="24"/>
        </w:rPr>
        <w:t>项目验收合格率</w:t>
      </w:r>
      <w:r>
        <w:rPr>
          <w:rFonts w:hint="eastAsia" w:ascii="仿宋_GB2312" w:hAnsi="Times New Roman" w:eastAsia="仿宋_GB2312"/>
          <w:sz w:val="32"/>
          <w:szCs w:val="24"/>
        </w:rPr>
        <w:t>100%，</w:t>
      </w:r>
      <w:r>
        <w:rPr>
          <w:rFonts w:hint="eastAsia" w:ascii="宋体" w:hAnsi="宋体" w:cs="宋体"/>
          <w:sz w:val="32"/>
          <w:szCs w:val="24"/>
        </w:rPr>
        <w:t>预算审计合格率</w:t>
      </w:r>
      <w:r>
        <w:rPr>
          <w:rFonts w:hint="eastAsia" w:ascii="仿宋_GB2312" w:hAnsi="Times New Roman" w:eastAsia="仿宋_GB2312"/>
          <w:sz w:val="32"/>
          <w:szCs w:val="24"/>
        </w:rPr>
        <w:t>100%。</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2、</w:t>
      </w:r>
      <w:r>
        <w:rPr>
          <w:rFonts w:hint="eastAsia" w:ascii="宋体" w:hAnsi="宋体" w:cs="宋体"/>
          <w:sz w:val="32"/>
          <w:szCs w:val="24"/>
        </w:rPr>
        <w:t>效益指标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新荣村农田水利工程的实施提高水资源的利用率</w:t>
      </w:r>
      <w:r>
        <w:rPr>
          <w:rFonts w:ascii="仿宋_GB2312" w:hAnsi="Times New Roman" w:eastAsia="仿宋_GB2312"/>
          <w:sz w:val="32"/>
          <w:szCs w:val="24"/>
        </w:rPr>
        <w:t>,</w:t>
      </w:r>
      <w:r>
        <w:rPr>
          <w:rFonts w:hint="eastAsia" w:ascii="宋体" w:hAnsi="宋体" w:cs="宋体"/>
          <w:sz w:val="32"/>
          <w:szCs w:val="24"/>
        </w:rPr>
        <w:t>提高了农业产品的质量</w:t>
      </w:r>
      <w:r>
        <w:rPr>
          <w:rFonts w:ascii="仿宋_GB2312" w:hAnsi="Times New Roman" w:eastAsia="仿宋_GB2312"/>
          <w:sz w:val="32"/>
          <w:szCs w:val="24"/>
        </w:rPr>
        <w:t>,</w:t>
      </w:r>
      <w:r>
        <w:rPr>
          <w:rFonts w:hint="eastAsia" w:ascii="宋体" w:hAnsi="宋体" w:cs="宋体"/>
          <w:sz w:val="32"/>
          <w:szCs w:val="24"/>
        </w:rPr>
        <w:t>解决了村民浇水难题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为村民增产增收</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工程持续使用达</w:t>
      </w:r>
      <w:r>
        <w:rPr>
          <w:rFonts w:hint="eastAsia" w:ascii="仿宋_GB2312" w:hAnsi="Times New Roman" w:eastAsia="仿宋_GB2312"/>
          <w:sz w:val="32"/>
          <w:szCs w:val="24"/>
        </w:rPr>
        <w:t>5</w:t>
      </w:r>
      <w:r>
        <w:rPr>
          <w:rFonts w:hint="eastAsia" w:ascii="宋体" w:hAnsi="宋体" w:cs="宋体"/>
          <w:sz w:val="32"/>
          <w:szCs w:val="24"/>
        </w:rPr>
        <w:t>年以上</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3、</w:t>
      </w:r>
      <w:r>
        <w:rPr>
          <w:rFonts w:hint="eastAsia" w:ascii="宋体" w:hAnsi="宋体" w:cs="宋体"/>
          <w:sz w:val="32"/>
          <w:szCs w:val="24"/>
        </w:rPr>
        <w:t>满意度指标</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按照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谁受益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谁评分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的原则</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分批次根据产出指标和效率指标分项进行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自评采取百分量化的形式进行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即根据该项目实施过程中涉及到的指标赋予百分值</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通过发放项目民意问卷调查表</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到户了解等方式</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了解到村民满意度达</w:t>
      </w:r>
      <w:r>
        <w:rPr>
          <w:rFonts w:hint="eastAsia" w:ascii="仿宋_GB2312" w:hAnsi="Times New Roman" w:eastAsia="仿宋_GB2312"/>
          <w:sz w:val="32"/>
          <w:szCs w:val="24"/>
        </w:rPr>
        <w:t>95%。</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通过上述数据来看新荣村农田水利工程解决了村民浇水难题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为村民增产增收</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发挥了财政资金最大作用</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四</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绩效评价指标分析</w:t>
      </w:r>
    </w:p>
    <w:p>
      <w:pPr>
        <w:spacing w:line="240" w:lineRule="atLeast"/>
        <w:ind w:firstLine="640" w:firstLineChars="200"/>
        <w:outlineLvl w:val="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一</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项目决策情况</w:t>
      </w:r>
      <w:r>
        <w:rPr>
          <w:rFonts w:hint="eastAsia" w:ascii="Malgun Gothic Semilight" w:hAnsi="Malgun Gothic Semilight" w:eastAsia="Malgun Gothic Semilight" w:cs="Malgun Gothic Semilight"/>
          <w:sz w:val="32"/>
          <w:szCs w:val="24"/>
        </w:rPr>
        <w:t>。</w:t>
      </w:r>
    </w:p>
    <w:p>
      <w:pPr>
        <w:spacing w:line="240" w:lineRule="atLeast"/>
        <w:ind w:firstLine="640" w:firstLineChars="200"/>
        <w:outlineLvl w:val="0"/>
        <w:rPr>
          <w:rFonts w:ascii="仿宋_GB2312" w:hAnsi="Times New Roman" w:eastAsia="仿宋_GB2312"/>
          <w:sz w:val="32"/>
          <w:szCs w:val="24"/>
        </w:rPr>
      </w:pPr>
      <w:r>
        <w:rPr>
          <w:rFonts w:hint="eastAsia" w:ascii="宋体" w:hAnsi="宋体" w:cs="宋体"/>
          <w:sz w:val="32"/>
          <w:szCs w:val="24"/>
        </w:rPr>
        <w:t>在多方调研</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广泛论证的基础上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制定出台</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临河区双河镇新荣村村级小型公益性生产生活设施建设</w:t>
      </w:r>
      <w:r>
        <w:rPr>
          <w:rFonts w:hint="eastAsia" w:ascii="仿宋_GB2312" w:hAnsi="Times New Roman" w:eastAsia="仿宋_GB2312"/>
          <w:sz w:val="32"/>
          <w:szCs w:val="24"/>
        </w:rPr>
        <w:t>(</w:t>
      </w:r>
      <w:r>
        <w:rPr>
          <w:rFonts w:hint="eastAsia" w:ascii="宋体" w:hAnsi="宋体" w:cs="宋体"/>
          <w:sz w:val="32"/>
          <w:szCs w:val="24"/>
        </w:rPr>
        <w:t>农田水利</w:t>
      </w:r>
      <w:r>
        <w:rPr>
          <w:rFonts w:hint="eastAsia" w:ascii="仿宋_GB2312" w:hAnsi="Times New Roman" w:eastAsia="仿宋_GB2312"/>
          <w:sz w:val="32"/>
          <w:szCs w:val="24"/>
        </w:rPr>
        <w:t>)</w:t>
      </w:r>
      <w:r>
        <w:rPr>
          <w:rFonts w:hint="eastAsia" w:ascii="宋体" w:hAnsi="宋体" w:cs="宋体"/>
          <w:sz w:val="32"/>
          <w:szCs w:val="24"/>
        </w:rPr>
        <w:t>项目实施方案</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双河镇组织镇村两级干部和驻镇工作组</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驻村工作队</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第一书记深入群众中</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逐户详解项目</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让尽可能多的农户参与到村级小型公益性生产生活设施建设</w:t>
      </w:r>
      <w:r>
        <w:rPr>
          <w:rFonts w:hint="eastAsia" w:ascii="仿宋_GB2312" w:hAnsi="Times New Roman" w:eastAsia="仿宋_GB2312"/>
          <w:sz w:val="32"/>
          <w:szCs w:val="24"/>
        </w:rPr>
        <w:t>(</w:t>
      </w:r>
      <w:r>
        <w:rPr>
          <w:rFonts w:hint="eastAsia" w:ascii="宋体" w:hAnsi="宋体" w:cs="宋体"/>
          <w:sz w:val="32"/>
          <w:szCs w:val="24"/>
        </w:rPr>
        <w:t>农田水利</w:t>
      </w:r>
      <w:r>
        <w:rPr>
          <w:rFonts w:hint="eastAsia" w:ascii="仿宋_GB2312" w:hAnsi="Times New Roman" w:eastAsia="仿宋_GB2312"/>
          <w:sz w:val="32"/>
          <w:szCs w:val="24"/>
        </w:rPr>
        <w:t>)</w:t>
      </w:r>
      <w:r>
        <w:rPr>
          <w:rFonts w:hint="eastAsia" w:ascii="宋体" w:hAnsi="宋体" w:cs="宋体"/>
          <w:sz w:val="32"/>
          <w:szCs w:val="24"/>
        </w:rPr>
        <w:t>项目中</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确保项目高标准高质量如期完成</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项目申报</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批复程序符合相关规定</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无随意调整项目</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项目内容符合规定要求</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符合经济社会发展规划和区委区政府年度工作计划</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设定的绩效指标清晰</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细化</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可衡量</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项目预算编制经过科学论证</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有明确标准</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资金额度与年度目标相适应</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项目预算资金分配是有测算依据</w:t>
      </w:r>
      <w:r>
        <w:rPr>
          <w:rFonts w:hint="eastAsia" w:ascii="Malgun Gothic Semilight" w:hAnsi="Malgun Gothic Semilight" w:eastAsia="Malgun Gothic Semilight" w:cs="Malgun Gothic Semilight"/>
          <w:sz w:val="32"/>
          <w:szCs w:val="24"/>
        </w:rPr>
        <w:t>。</w:t>
      </w:r>
    </w:p>
    <w:p>
      <w:pPr>
        <w:spacing w:line="240" w:lineRule="atLeast"/>
        <w:ind w:firstLine="640" w:firstLineChars="200"/>
        <w:outlineLvl w:val="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项目过程情况</w:t>
      </w:r>
      <w:r>
        <w:rPr>
          <w:rFonts w:hint="eastAsia" w:ascii="Malgun Gothic Semilight" w:hAnsi="Malgun Gothic Semilight" w:eastAsia="Malgun Gothic Semilight" w:cs="Malgun Gothic Semilight"/>
          <w:sz w:val="32"/>
          <w:szCs w:val="24"/>
        </w:rPr>
        <w:t>。</w:t>
      </w:r>
    </w:p>
    <w:p>
      <w:pPr>
        <w:spacing w:line="240" w:lineRule="atLeast"/>
        <w:ind w:firstLine="640" w:firstLineChars="200"/>
        <w:outlineLvl w:val="0"/>
        <w:rPr>
          <w:rFonts w:ascii="仿宋_GB2312" w:hAnsi="Times New Roman" w:eastAsia="仿宋_GB2312"/>
          <w:sz w:val="32"/>
          <w:szCs w:val="24"/>
        </w:rPr>
      </w:pPr>
      <w:r>
        <w:rPr>
          <w:rFonts w:hint="eastAsia" w:ascii="宋体" w:hAnsi="宋体" w:cs="宋体"/>
          <w:sz w:val="32"/>
          <w:szCs w:val="24"/>
        </w:rPr>
        <w:t>项目预算资金全部按照计划执行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项目资金使用符合相关的财务管理制度规定</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项目实施村委会健全了财务和业务管理制度</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项目实施遵守相关法律法规和相关管理规定</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项目合同书</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验收报告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技术鉴定等资料齐全并及时归档</w:t>
      </w:r>
      <w:r>
        <w:rPr>
          <w:rFonts w:hint="eastAsia" w:ascii="Malgun Gothic Semilight" w:hAnsi="Malgun Gothic Semilight" w:eastAsia="Malgun Gothic Semilight" w:cs="Malgun Gothic Semilight"/>
          <w:sz w:val="32"/>
          <w:szCs w:val="24"/>
        </w:rPr>
        <w:t>。</w:t>
      </w:r>
    </w:p>
    <w:p>
      <w:pPr>
        <w:spacing w:line="240" w:lineRule="atLeast"/>
        <w:ind w:firstLine="640" w:firstLineChars="200"/>
        <w:outlineLvl w:val="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三</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项目产出情况</w:t>
      </w:r>
      <w:r>
        <w:rPr>
          <w:rFonts w:hint="eastAsia" w:ascii="Malgun Gothic Semilight" w:hAnsi="Malgun Gothic Semilight" w:eastAsia="Malgun Gothic Semilight" w:cs="Malgun Gothic Semilight"/>
          <w:sz w:val="32"/>
          <w:szCs w:val="24"/>
        </w:rPr>
        <w:t>。</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新荣村农田水利工程灌渠提升公益性水利设施重建维修养护数量为</w:t>
      </w:r>
      <w:r>
        <w:rPr>
          <w:rFonts w:hint="eastAsia" w:ascii="仿宋_GB2312" w:hAnsi="Times New Roman" w:eastAsia="仿宋_GB2312"/>
          <w:sz w:val="32"/>
          <w:szCs w:val="24"/>
        </w:rPr>
        <w:t>84</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设备维修数量</w:t>
      </w:r>
      <w:r>
        <w:rPr>
          <w:rFonts w:ascii="仿宋_GB2312" w:hAnsi="Times New Roman" w:eastAsia="仿宋_GB2312"/>
          <w:sz w:val="32"/>
          <w:szCs w:val="24"/>
        </w:rPr>
        <w:t>2</w:t>
      </w:r>
      <w:r>
        <w:rPr>
          <w:rFonts w:hint="eastAsia" w:ascii="宋体" w:hAnsi="宋体" w:cs="宋体"/>
          <w:sz w:val="32"/>
          <w:szCs w:val="24"/>
        </w:rPr>
        <w:t>座</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引水渠节水改造长度为</w:t>
      </w:r>
      <w:r>
        <w:rPr>
          <w:rFonts w:ascii="仿宋_GB2312" w:hAnsi="Times New Roman" w:eastAsia="仿宋_GB2312"/>
          <w:sz w:val="32"/>
          <w:szCs w:val="24"/>
        </w:rPr>
        <w:t>6.384</w:t>
      </w:r>
      <w:r>
        <w:rPr>
          <w:rFonts w:hint="eastAsia" w:ascii="宋体" w:hAnsi="宋体" w:cs="宋体"/>
          <w:sz w:val="32"/>
          <w:szCs w:val="24"/>
        </w:rPr>
        <w:t>公里</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项目审计和施工合格率达</w:t>
      </w:r>
      <w:r>
        <w:rPr>
          <w:rFonts w:hint="eastAsia" w:ascii="仿宋_GB2312" w:hAnsi="Times New Roman" w:eastAsia="仿宋_GB2312"/>
          <w:sz w:val="32"/>
          <w:szCs w:val="24"/>
        </w:rPr>
        <w:t>100%，</w:t>
      </w:r>
      <w:r>
        <w:rPr>
          <w:rFonts w:hint="eastAsia" w:ascii="宋体" w:hAnsi="宋体" w:cs="宋体"/>
          <w:sz w:val="32"/>
          <w:szCs w:val="24"/>
        </w:rPr>
        <w:t>项目验收合格率</w:t>
      </w:r>
      <w:r>
        <w:rPr>
          <w:rFonts w:hint="eastAsia" w:ascii="仿宋_GB2312" w:hAnsi="Times New Roman" w:eastAsia="仿宋_GB2312"/>
          <w:sz w:val="32"/>
          <w:szCs w:val="24"/>
        </w:rPr>
        <w:t>100%，</w:t>
      </w:r>
      <w:r>
        <w:rPr>
          <w:rFonts w:hint="eastAsia" w:ascii="宋体" w:hAnsi="宋体" w:cs="宋体"/>
          <w:sz w:val="32"/>
          <w:szCs w:val="24"/>
        </w:rPr>
        <w:t>预算审计合格率</w:t>
      </w:r>
      <w:r>
        <w:rPr>
          <w:rFonts w:hint="eastAsia" w:ascii="仿宋_GB2312" w:hAnsi="Times New Roman" w:eastAsia="仿宋_GB2312"/>
          <w:sz w:val="32"/>
          <w:szCs w:val="24"/>
        </w:rPr>
        <w:t>100%。</w:t>
      </w:r>
    </w:p>
    <w:p>
      <w:pPr>
        <w:spacing w:line="240" w:lineRule="atLeast"/>
        <w:ind w:firstLine="640" w:firstLineChars="200"/>
        <w:rPr>
          <w:rFonts w:ascii="仿宋_GB2312" w:hAnsi="Times New Roman" w:eastAsia="仿宋_GB2312"/>
          <w:sz w:val="32"/>
          <w:szCs w:val="24"/>
        </w:rPr>
      </w:pPr>
      <w:r>
        <w:rPr>
          <w:rFonts w:hint="eastAsia" w:ascii="仿宋_GB2312" w:hAnsi="Times New Roman" w:eastAsia="仿宋_GB2312"/>
          <w:sz w:val="32"/>
          <w:szCs w:val="24"/>
        </w:rPr>
        <w:t>（</w:t>
      </w:r>
      <w:r>
        <w:rPr>
          <w:rFonts w:hint="eastAsia" w:ascii="宋体" w:hAnsi="宋体" w:cs="宋体"/>
          <w:sz w:val="32"/>
          <w:szCs w:val="24"/>
        </w:rPr>
        <w:t>四</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项目效益情况</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新荣村农田水利工程的实施提高水资源的利用率</w:t>
      </w:r>
      <w:r>
        <w:rPr>
          <w:rFonts w:ascii="仿宋_GB2312" w:hAnsi="Times New Roman" w:eastAsia="仿宋_GB2312"/>
          <w:sz w:val="32"/>
          <w:szCs w:val="24"/>
        </w:rPr>
        <w:t>,</w:t>
      </w:r>
      <w:r>
        <w:rPr>
          <w:rFonts w:hint="eastAsia" w:ascii="宋体" w:hAnsi="宋体" w:cs="宋体"/>
          <w:sz w:val="32"/>
          <w:szCs w:val="24"/>
        </w:rPr>
        <w:t>提高了农业产品的质量</w:t>
      </w:r>
      <w:r>
        <w:rPr>
          <w:rFonts w:ascii="仿宋_GB2312" w:hAnsi="Times New Roman" w:eastAsia="仿宋_GB2312"/>
          <w:sz w:val="32"/>
          <w:szCs w:val="24"/>
        </w:rPr>
        <w:t>,</w:t>
      </w:r>
      <w:r>
        <w:rPr>
          <w:rFonts w:hint="eastAsia" w:ascii="宋体" w:hAnsi="宋体" w:cs="宋体"/>
          <w:sz w:val="32"/>
          <w:szCs w:val="24"/>
        </w:rPr>
        <w:t>解决了村民浇水难题</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为村民增产增收</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工程持续使用达</w:t>
      </w:r>
      <w:r>
        <w:rPr>
          <w:rFonts w:hint="eastAsia" w:ascii="仿宋_GB2312" w:hAnsi="Times New Roman" w:eastAsia="仿宋_GB2312"/>
          <w:sz w:val="32"/>
          <w:szCs w:val="24"/>
        </w:rPr>
        <w:t>5</w:t>
      </w:r>
      <w:r>
        <w:rPr>
          <w:rFonts w:hint="eastAsia" w:ascii="宋体" w:hAnsi="宋体" w:cs="宋体"/>
          <w:sz w:val="32"/>
          <w:szCs w:val="24"/>
        </w:rPr>
        <w:t>年以上</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村民满意度达</w:t>
      </w:r>
      <w:r>
        <w:rPr>
          <w:rFonts w:hint="eastAsia" w:ascii="仿宋_GB2312" w:hAnsi="Times New Roman" w:eastAsia="仿宋_GB2312"/>
          <w:sz w:val="32"/>
          <w:szCs w:val="24"/>
        </w:rPr>
        <w:t>95%。</w:t>
      </w:r>
    </w:p>
    <w:p>
      <w:pPr>
        <w:spacing w:line="240" w:lineRule="atLeast"/>
        <w:ind w:firstLine="640" w:firstLineChars="200"/>
        <w:rPr>
          <w:rFonts w:ascii="仿宋_GB2312" w:hAnsi="Times New Roman" w:eastAsia="仿宋_GB2312"/>
          <w:sz w:val="32"/>
          <w:szCs w:val="24"/>
        </w:rPr>
      </w:pPr>
      <w:r>
        <w:rPr>
          <w:rFonts w:hint="eastAsia" w:ascii="宋体" w:hAnsi="宋体" w:cs="宋体"/>
          <w:sz w:val="32"/>
          <w:szCs w:val="24"/>
        </w:rPr>
        <w:t>五</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主要经验及做法</w:t>
      </w:r>
      <w:r>
        <w:rPr>
          <w:rFonts w:hint="eastAsia" w:ascii="Malgun Gothic Semilight" w:hAnsi="Malgun Gothic Semilight" w:eastAsia="Malgun Gothic Semilight" w:cs="Malgun Gothic Semilight"/>
          <w:sz w:val="32"/>
          <w:szCs w:val="24"/>
        </w:rPr>
        <w:t>、</w:t>
      </w:r>
      <w:r>
        <w:rPr>
          <w:rFonts w:hint="eastAsia" w:ascii="宋体" w:hAnsi="宋体" w:cs="宋体"/>
          <w:sz w:val="32"/>
          <w:szCs w:val="24"/>
        </w:rPr>
        <w:t>存在的问题和建议</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w:t>
      </w:r>
      <w:r>
        <w:rPr>
          <w:rFonts w:hint="eastAsia" w:cs="宋体"/>
          <w:sz w:val="32"/>
        </w:rPr>
        <w:t>一</w:t>
      </w:r>
      <w:r>
        <w:rPr>
          <w:rFonts w:hint="eastAsia" w:ascii="Malgun Gothic Semilight" w:hAnsi="Malgun Gothic Semilight" w:eastAsia="Malgun Gothic Semilight" w:cs="Malgun Gothic Semilight"/>
          <w:sz w:val="32"/>
        </w:rPr>
        <w:t>）</w:t>
      </w:r>
      <w:r>
        <w:rPr>
          <w:rFonts w:hint="eastAsia" w:cs="宋体"/>
          <w:sz w:val="32"/>
        </w:rPr>
        <w:t>主要经验及做法</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1、</w:t>
      </w:r>
      <w:r>
        <w:rPr>
          <w:rFonts w:hint="eastAsia" w:cs="宋体"/>
          <w:sz w:val="32"/>
        </w:rPr>
        <w:t>广泛宣传动员</w:t>
      </w:r>
      <w:r>
        <w:rPr>
          <w:rFonts w:hint="eastAsia" w:ascii="Malgun Gothic Semilight" w:hAnsi="Malgun Gothic Semilight" w:eastAsia="Malgun Gothic Semilight" w:cs="Malgun Gothic Semilight"/>
          <w:sz w:val="32"/>
        </w:rPr>
        <w:t>，</w:t>
      </w:r>
      <w:r>
        <w:rPr>
          <w:rFonts w:hint="eastAsia" w:cs="宋体"/>
          <w:sz w:val="32"/>
        </w:rPr>
        <w:t>营造舆论氛围</w:t>
      </w:r>
      <w:r>
        <w:rPr>
          <w:rFonts w:hint="eastAsia" w:ascii="Malgun Gothic Semilight" w:hAnsi="Malgun Gothic Semilight" w:eastAsia="Malgun Gothic Semilight" w:cs="Malgun Gothic Semilight"/>
          <w:sz w:val="32"/>
        </w:rPr>
        <w:t>。</w:t>
      </w:r>
      <w:r>
        <w:rPr>
          <w:rFonts w:hint="eastAsia" w:cs="宋体"/>
          <w:sz w:val="32"/>
        </w:rPr>
        <w:t>通过各类会议加大政策宣传力度</w:t>
      </w:r>
      <w:r>
        <w:rPr>
          <w:rFonts w:hint="eastAsia" w:ascii="Malgun Gothic Semilight" w:hAnsi="Malgun Gothic Semilight" w:eastAsia="Malgun Gothic Semilight" w:cs="Malgun Gothic Semilight"/>
          <w:sz w:val="32"/>
        </w:rPr>
        <w:t>，</w:t>
      </w:r>
      <w:r>
        <w:rPr>
          <w:rFonts w:hint="eastAsia" w:cs="宋体"/>
          <w:sz w:val="32"/>
        </w:rPr>
        <w:t>增强农民群众对公益设施建设的积极性</w:t>
      </w:r>
      <w:r>
        <w:rPr>
          <w:rFonts w:hint="eastAsia" w:ascii="Malgun Gothic Semilight" w:hAnsi="Malgun Gothic Semilight" w:eastAsia="Malgun Gothic Semilight" w:cs="Malgun Gothic Semilight"/>
          <w:sz w:val="32"/>
        </w:rPr>
        <w:t>，</w:t>
      </w:r>
      <w:r>
        <w:rPr>
          <w:rFonts w:hint="eastAsia" w:cs="宋体"/>
          <w:sz w:val="32"/>
        </w:rPr>
        <w:t>调动群众的主体作用</w:t>
      </w:r>
      <w:r>
        <w:rPr>
          <w:rFonts w:hint="eastAsia" w:ascii="Malgun Gothic Semilight" w:hAnsi="Malgun Gothic Semilight" w:eastAsia="Malgun Gothic Semilight" w:cs="Malgun Gothic Semilight"/>
          <w:sz w:val="32"/>
        </w:rPr>
        <w:t>，</w:t>
      </w:r>
      <w:r>
        <w:rPr>
          <w:rFonts w:hint="eastAsia" w:cs="宋体"/>
          <w:sz w:val="32"/>
        </w:rPr>
        <w:t>为后续工作有序开展和规范运行奠定良好的群众基础</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2、</w:t>
      </w:r>
      <w:r>
        <w:rPr>
          <w:rFonts w:hint="eastAsia" w:cs="宋体"/>
          <w:sz w:val="32"/>
        </w:rPr>
        <w:t>落实管理制度</w:t>
      </w:r>
      <w:r>
        <w:rPr>
          <w:rFonts w:hint="eastAsia" w:ascii="Malgun Gothic Semilight" w:hAnsi="Malgun Gothic Semilight" w:eastAsia="Malgun Gothic Semilight" w:cs="Malgun Gothic Semilight"/>
          <w:sz w:val="32"/>
        </w:rPr>
        <w:t>，</w:t>
      </w:r>
      <w:r>
        <w:rPr>
          <w:rFonts w:hint="eastAsia" w:cs="宋体"/>
          <w:sz w:val="32"/>
        </w:rPr>
        <w:t>强化业务培训</w:t>
      </w:r>
      <w:r>
        <w:rPr>
          <w:rFonts w:hint="eastAsia" w:ascii="Malgun Gothic Semilight" w:hAnsi="Malgun Gothic Semilight" w:eastAsia="Malgun Gothic Semilight" w:cs="Malgun Gothic Semilight"/>
          <w:sz w:val="32"/>
        </w:rPr>
        <w:t>。</w:t>
      </w:r>
      <w:r>
        <w:rPr>
          <w:rFonts w:hint="eastAsia" w:cs="宋体"/>
          <w:sz w:val="32"/>
        </w:rPr>
        <w:t>严格执行市</w:t>
      </w:r>
      <w:r>
        <w:rPr>
          <w:rFonts w:hint="eastAsia" w:ascii="Malgun Gothic Semilight" w:hAnsi="Malgun Gothic Semilight" w:eastAsia="Malgun Gothic Semilight" w:cs="Malgun Gothic Semilight"/>
          <w:sz w:val="32"/>
        </w:rPr>
        <w:t>、</w:t>
      </w:r>
      <w:r>
        <w:rPr>
          <w:rFonts w:hint="eastAsia" w:cs="宋体"/>
          <w:sz w:val="32"/>
        </w:rPr>
        <w:t>区各项规章制度</w:t>
      </w:r>
      <w:r>
        <w:rPr>
          <w:rFonts w:hint="eastAsia" w:ascii="Malgun Gothic Semilight" w:hAnsi="Malgun Gothic Semilight" w:eastAsia="Malgun Gothic Semilight" w:cs="Malgun Gothic Semilight"/>
          <w:sz w:val="32"/>
        </w:rPr>
        <w:t>，</w:t>
      </w:r>
      <w:r>
        <w:rPr>
          <w:rFonts w:hint="eastAsia" w:cs="宋体"/>
          <w:sz w:val="32"/>
        </w:rPr>
        <w:t>严格落实民主议事</w:t>
      </w:r>
      <w:r>
        <w:rPr>
          <w:rFonts w:hint="eastAsia" w:ascii="Malgun Gothic Semilight" w:hAnsi="Malgun Gothic Semilight" w:eastAsia="Malgun Gothic Semilight" w:cs="Malgun Gothic Semilight"/>
          <w:sz w:val="32"/>
        </w:rPr>
        <w:t>、</w:t>
      </w:r>
      <w:r>
        <w:rPr>
          <w:rFonts w:hint="eastAsia" w:cs="宋体"/>
          <w:sz w:val="32"/>
        </w:rPr>
        <w:t>项目库建设</w:t>
      </w:r>
      <w:r>
        <w:rPr>
          <w:rFonts w:hint="eastAsia" w:ascii="Malgun Gothic Semilight" w:hAnsi="Malgun Gothic Semilight" w:eastAsia="Malgun Gothic Semilight" w:cs="Malgun Gothic Semilight"/>
          <w:sz w:val="32"/>
        </w:rPr>
        <w:t>、</w:t>
      </w:r>
      <w:r>
        <w:rPr>
          <w:rFonts w:hint="eastAsia" w:cs="宋体"/>
          <w:sz w:val="32"/>
        </w:rPr>
        <w:t>项目公示</w:t>
      </w:r>
      <w:r>
        <w:rPr>
          <w:rFonts w:hint="eastAsia" w:ascii="Malgun Gothic Semilight" w:hAnsi="Malgun Gothic Semilight" w:eastAsia="Malgun Gothic Semilight" w:cs="Malgun Gothic Semilight"/>
          <w:sz w:val="32"/>
        </w:rPr>
        <w:t>、</w:t>
      </w:r>
      <w:r>
        <w:rPr>
          <w:rFonts w:hint="eastAsia" w:cs="宋体"/>
          <w:sz w:val="32"/>
        </w:rPr>
        <w:t>资金管理</w:t>
      </w:r>
      <w:r>
        <w:rPr>
          <w:rFonts w:hint="eastAsia" w:ascii="Malgun Gothic Semilight" w:hAnsi="Malgun Gothic Semilight" w:eastAsia="Malgun Gothic Semilight" w:cs="Malgun Gothic Semilight"/>
          <w:sz w:val="32"/>
        </w:rPr>
        <w:t>、</w:t>
      </w:r>
      <w:r>
        <w:rPr>
          <w:rFonts w:hint="eastAsia" w:cs="宋体"/>
          <w:sz w:val="32"/>
        </w:rPr>
        <w:t>档案管理</w:t>
      </w:r>
      <w:r>
        <w:rPr>
          <w:rFonts w:hint="eastAsia" w:ascii="Malgun Gothic Semilight" w:hAnsi="Malgun Gothic Semilight" w:eastAsia="Malgun Gothic Semilight" w:cs="Malgun Gothic Semilight"/>
          <w:sz w:val="32"/>
        </w:rPr>
        <w:t>、</w:t>
      </w:r>
      <w:r>
        <w:rPr>
          <w:rFonts w:hint="eastAsia" w:cs="宋体"/>
          <w:sz w:val="32"/>
        </w:rPr>
        <w:t>监督检查</w:t>
      </w:r>
      <w:r>
        <w:rPr>
          <w:rFonts w:hint="eastAsia" w:ascii="Malgun Gothic Semilight" w:hAnsi="Malgun Gothic Semilight" w:eastAsia="Malgun Gothic Semilight" w:cs="Malgun Gothic Semilight"/>
          <w:sz w:val="32"/>
        </w:rPr>
        <w:t>、</w:t>
      </w:r>
      <w:r>
        <w:rPr>
          <w:rFonts w:hint="eastAsia" w:cs="宋体"/>
          <w:sz w:val="32"/>
        </w:rPr>
        <w:t>设施管护制度</w:t>
      </w:r>
      <w:r>
        <w:rPr>
          <w:rFonts w:hint="eastAsia" w:ascii="Malgun Gothic Semilight" w:hAnsi="Malgun Gothic Semilight" w:eastAsia="Malgun Gothic Semilight" w:cs="Malgun Gothic Semilight"/>
          <w:sz w:val="32"/>
        </w:rPr>
        <w:t>，</w:t>
      </w:r>
      <w:r>
        <w:rPr>
          <w:rFonts w:hint="eastAsia" w:cs="宋体"/>
          <w:sz w:val="32"/>
        </w:rPr>
        <w:t>以制度管人</w:t>
      </w:r>
      <w:r>
        <w:rPr>
          <w:rFonts w:hint="eastAsia" w:ascii="Malgun Gothic Semilight" w:hAnsi="Malgun Gothic Semilight" w:eastAsia="Malgun Gothic Semilight" w:cs="Malgun Gothic Semilight"/>
          <w:sz w:val="32"/>
        </w:rPr>
        <w:t>，</w:t>
      </w:r>
      <w:r>
        <w:rPr>
          <w:rFonts w:hint="eastAsia" w:cs="宋体"/>
          <w:sz w:val="32"/>
        </w:rPr>
        <w:t>按制度办事</w:t>
      </w:r>
      <w:r>
        <w:rPr>
          <w:rFonts w:hint="eastAsia" w:ascii="Malgun Gothic Semilight" w:hAnsi="Malgun Gothic Semilight" w:eastAsia="Malgun Gothic Semilight" w:cs="Malgun Gothic Semilight"/>
          <w:sz w:val="32"/>
        </w:rPr>
        <w:t>，</w:t>
      </w:r>
      <w:r>
        <w:rPr>
          <w:rFonts w:hint="eastAsia" w:cs="宋体"/>
          <w:sz w:val="32"/>
        </w:rPr>
        <w:t>保障村级公益项目工程的顺利实施</w:t>
      </w:r>
      <w:r>
        <w:rPr>
          <w:rFonts w:hint="eastAsia" w:ascii="Malgun Gothic Semilight" w:hAnsi="Malgun Gothic Semilight" w:eastAsia="Malgun Gothic Semilight" w:cs="Malgun Gothic Semilight"/>
          <w:sz w:val="32"/>
        </w:rPr>
        <w:t>。</w:t>
      </w:r>
      <w:r>
        <w:rPr>
          <w:rFonts w:hint="eastAsia" w:cs="宋体"/>
          <w:sz w:val="32"/>
        </w:rPr>
        <w:t>同时</w:t>
      </w:r>
      <w:r>
        <w:rPr>
          <w:rFonts w:hint="eastAsia" w:ascii="Malgun Gothic Semilight" w:hAnsi="Malgun Gothic Semilight" w:eastAsia="Malgun Gothic Semilight" w:cs="Malgun Gothic Semilight"/>
          <w:sz w:val="32"/>
        </w:rPr>
        <w:t>，</w:t>
      </w:r>
      <w:r>
        <w:rPr>
          <w:rFonts w:hint="eastAsia" w:cs="宋体"/>
          <w:sz w:val="32"/>
        </w:rPr>
        <w:t>认真研读工程实施的制度及规范</w:t>
      </w:r>
      <w:r>
        <w:rPr>
          <w:rFonts w:hint="eastAsia" w:ascii="Malgun Gothic Semilight" w:hAnsi="Malgun Gothic Semilight" w:eastAsia="Malgun Gothic Semilight" w:cs="Malgun Gothic Semilight"/>
          <w:sz w:val="32"/>
        </w:rPr>
        <w:t>，</w:t>
      </w:r>
      <w:r>
        <w:rPr>
          <w:rFonts w:hint="eastAsia" w:cs="宋体"/>
          <w:sz w:val="32"/>
        </w:rPr>
        <w:t>提高工作人员的政策水平和业务能力</w:t>
      </w:r>
      <w:r>
        <w:rPr>
          <w:rFonts w:hint="eastAsia" w:ascii="Malgun Gothic Semilight" w:hAnsi="Malgun Gothic Semilight" w:eastAsia="Malgun Gothic Semilight" w:cs="Malgun Gothic Semilight"/>
          <w:sz w:val="32"/>
        </w:rPr>
        <w:t>，</w:t>
      </w:r>
      <w:r>
        <w:rPr>
          <w:rFonts w:hint="eastAsia" w:cs="宋体"/>
          <w:sz w:val="32"/>
        </w:rPr>
        <w:t>靠实工作责任</w:t>
      </w:r>
      <w:r>
        <w:rPr>
          <w:rFonts w:hint="eastAsia" w:ascii="Malgun Gothic Semilight" w:hAnsi="Malgun Gothic Semilight" w:eastAsia="Malgun Gothic Semilight" w:cs="Malgun Gothic Semilight"/>
          <w:sz w:val="32"/>
        </w:rPr>
        <w:t>，</w:t>
      </w:r>
      <w:r>
        <w:rPr>
          <w:rFonts w:hint="eastAsia" w:cs="宋体"/>
          <w:sz w:val="32"/>
        </w:rPr>
        <w:t>规范工作程序</w:t>
      </w:r>
      <w:r>
        <w:rPr>
          <w:rFonts w:hint="eastAsia" w:ascii="Malgun Gothic Semilight" w:hAnsi="Malgun Gothic Semilight" w:eastAsia="Malgun Gothic Semilight" w:cs="Malgun Gothic Semilight"/>
          <w:sz w:val="32"/>
        </w:rPr>
        <w:t>，</w:t>
      </w:r>
      <w:r>
        <w:rPr>
          <w:rFonts w:hint="eastAsia" w:cs="宋体"/>
          <w:sz w:val="32"/>
        </w:rPr>
        <w:t>指导村民小组规范开展工作</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3、</w:t>
      </w:r>
      <w:r>
        <w:rPr>
          <w:rFonts w:hint="eastAsia" w:cs="宋体"/>
          <w:sz w:val="32"/>
        </w:rPr>
        <w:t>严格把关</w:t>
      </w:r>
      <w:r>
        <w:rPr>
          <w:rFonts w:hint="eastAsia" w:ascii="Malgun Gothic Semilight" w:hAnsi="Malgun Gothic Semilight" w:eastAsia="Malgun Gothic Semilight" w:cs="Malgun Gothic Semilight"/>
          <w:sz w:val="32"/>
        </w:rPr>
        <w:t>，</w:t>
      </w:r>
      <w:r>
        <w:rPr>
          <w:rFonts w:hint="eastAsia" w:cs="宋体"/>
          <w:sz w:val="32"/>
        </w:rPr>
        <w:t>规范运行</w:t>
      </w:r>
      <w:r>
        <w:rPr>
          <w:rFonts w:hint="eastAsia" w:ascii="Malgun Gothic Semilight" w:hAnsi="Malgun Gothic Semilight" w:eastAsia="Malgun Gothic Semilight" w:cs="Malgun Gothic Semilight"/>
          <w:sz w:val="32"/>
        </w:rPr>
        <w:t>。</w:t>
      </w:r>
      <w:r>
        <w:rPr>
          <w:rFonts w:hint="eastAsia" w:cs="宋体"/>
          <w:sz w:val="32"/>
        </w:rPr>
        <w:t>在工作程序上重点把好五个关口</w:t>
      </w:r>
      <w:r>
        <w:rPr>
          <w:rFonts w:hint="eastAsia" w:ascii="Malgun Gothic Semilight" w:hAnsi="Malgun Gothic Semilight" w:eastAsia="Malgun Gothic Semilight" w:cs="Malgun Gothic Semilight"/>
          <w:sz w:val="32"/>
        </w:rPr>
        <w:t>。</w:t>
      </w:r>
      <w:r>
        <w:rPr>
          <w:rFonts w:hint="eastAsia" w:cs="宋体"/>
          <w:sz w:val="32"/>
        </w:rPr>
        <w:t>一是严把议事关</w:t>
      </w:r>
      <w:r>
        <w:rPr>
          <w:rFonts w:hint="eastAsia" w:ascii="Malgun Gothic Semilight" w:hAnsi="Malgun Gothic Semilight" w:eastAsia="Malgun Gothic Semilight" w:cs="Malgun Gothic Semilight"/>
          <w:sz w:val="32"/>
        </w:rPr>
        <w:t>。</w:t>
      </w:r>
      <w:r>
        <w:rPr>
          <w:rFonts w:hint="eastAsia" w:cs="宋体"/>
          <w:sz w:val="32"/>
        </w:rPr>
        <w:t>按要求民主推举项目建设理事小组</w:t>
      </w:r>
      <w:r>
        <w:rPr>
          <w:rFonts w:hint="eastAsia" w:ascii="Malgun Gothic Semilight" w:hAnsi="Malgun Gothic Semilight" w:eastAsia="Malgun Gothic Semilight" w:cs="Malgun Gothic Semilight"/>
          <w:sz w:val="32"/>
        </w:rPr>
        <w:t>、</w:t>
      </w:r>
      <w:r>
        <w:rPr>
          <w:rFonts w:hint="eastAsia" w:cs="宋体"/>
          <w:sz w:val="32"/>
        </w:rPr>
        <w:t>理财小组和监督小组</w:t>
      </w:r>
      <w:r>
        <w:rPr>
          <w:rFonts w:hint="eastAsia" w:ascii="Malgun Gothic Semilight" w:hAnsi="Malgun Gothic Semilight" w:eastAsia="Malgun Gothic Semilight" w:cs="Malgun Gothic Semilight"/>
          <w:sz w:val="32"/>
        </w:rPr>
        <w:t>，</w:t>
      </w:r>
      <w:r>
        <w:rPr>
          <w:rFonts w:hint="eastAsia" w:cs="宋体"/>
          <w:sz w:val="32"/>
        </w:rPr>
        <w:t>全权负责工程建设</w:t>
      </w:r>
      <w:r>
        <w:rPr>
          <w:rFonts w:hint="eastAsia" w:ascii="Malgun Gothic Semilight" w:hAnsi="Malgun Gothic Semilight" w:eastAsia="Malgun Gothic Semilight" w:cs="Malgun Gothic Semilight"/>
          <w:sz w:val="32"/>
        </w:rPr>
        <w:t>、</w:t>
      </w:r>
      <w:r>
        <w:rPr>
          <w:rFonts w:hint="eastAsia" w:cs="宋体"/>
          <w:sz w:val="32"/>
        </w:rPr>
        <w:t>资金把控和监督管理工作</w:t>
      </w:r>
      <w:r>
        <w:rPr>
          <w:rFonts w:hint="eastAsia" w:ascii="Malgun Gothic Semilight" w:hAnsi="Malgun Gothic Semilight" w:eastAsia="Malgun Gothic Semilight" w:cs="Malgun Gothic Semilight"/>
          <w:sz w:val="32"/>
        </w:rPr>
        <w:t>；</w:t>
      </w:r>
      <w:r>
        <w:rPr>
          <w:rFonts w:hint="eastAsia" w:cs="宋体"/>
          <w:sz w:val="32"/>
        </w:rPr>
        <w:t>二是严把申报关</w:t>
      </w:r>
      <w:r>
        <w:rPr>
          <w:rFonts w:hint="eastAsia" w:ascii="Malgun Gothic Semilight" w:hAnsi="Malgun Gothic Semilight" w:eastAsia="Malgun Gothic Semilight" w:cs="Malgun Gothic Semilight"/>
          <w:sz w:val="32"/>
        </w:rPr>
        <w:t>。</w:t>
      </w:r>
      <w:r>
        <w:rPr>
          <w:rFonts w:hint="eastAsia" w:cs="宋体"/>
          <w:sz w:val="32"/>
        </w:rPr>
        <w:t>严格实行自下而上</w:t>
      </w:r>
      <w:r>
        <w:rPr>
          <w:rFonts w:hint="eastAsia" w:ascii="Malgun Gothic Semilight" w:hAnsi="Malgun Gothic Semilight" w:eastAsia="Malgun Gothic Semilight" w:cs="Malgun Gothic Semilight"/>
          <w:sz w:val="32"/>
        </w:rPr>
        <w:t>、</w:t>
      </w:r>
      <w:r>
        <w:rPr>
          <w:rFonts w:hint="eastAsia" w:cs="宋体"/>
          <w:sz w:val="32"/>
        </w:rPr>
        <w:t>自上而下的申报审批制度</w:t>
      </w:r>
      <w:r>
        <w:rPr>
          <w:rFonts w:hint="eastAsia" w:ascii="Malgun Gothic Semilight" w:hAnsi="Malgun Gothic Semilight" w:eastAsia="Malgun Gothic Semilight" w:cs="Malgun Gothic Semilight"/>
          <w:sz w:val="32"/>
        </w:rPr>
        <w:t>；</w:t>
      </w:r>
      <w:r>
        <w:rPr>
          <w:rFonts w:hint="eastAsia" w:cs="宋体"/>
          <w:sz w:val="32"/>
        </w:rPr>
        <w:t>三是严把建设关</w:t>
      </w:r>
      <w:r>
        <w:rPr>
          <w:rFonts w:hint="eastAsia" w:ascii="Malgun Gothic Semilight" w:hAnsi="Malgun Gothic Semilight" w:eastAsia="Malgun Gothic Semilight" w:cs="Malgun Gothic Semilight"/>
          <w:sz w:val="32"/>
        </w:rPr>
        <w:t>。</w:t>
      </w:r>
      <w:r>
        <w:rPr>
          <w:rFonts w:hint="eastAsia" w:cs="宋体"/>
          <w:sz w:val="32"/>
        </w:rPr>
        <w:t>项目批复文件下达后</w:t>
      </w:r>
      <w:r>
        <w:rPr>
          <w:rFonts w:hint="eastAsia" w:ascii="Malgun Gothic Semilight" w:hAnsi="Malgun Gothic Semilight" w:eastAsia="Malgun Gothic Semilight" w:cs="Malgun Gothic Semilight"/>
          <w:sz w:val="32"/>
        </w:rPr>
        <w:t>，</w:t>
      </w:r>
      <w:r>
        <w:rPr>
          <w:rFonts w:hint="eastAsia" w:cs="宋体"/>
          <w:sz w:val="32"/>
        </w:rPr>
        <w:t>由乡镇政府通知中标单位及时开展工程建设工作</w:t>
      </w:r>
      <w:r>
        <w:rPr>
          <w:rFonts w:hint="eastAsia" w:ascii="Malgun Gothic Semilight" w:hAnsi="Malgun Gothic Semilight" w:eastAsia="Malgun Gothic Semilight" w:cs="Malgun Gothic Semilight"/>
          <w:sz w:val="32"/>
        </w:rPr>
        <w:t>，</w:t>
      </w:r>
      <w:r>
        <w:rPr>
          <w:rFonts w:hint="eastAsia" w:cs="宋体"/>
          <w:sz w:val="32"/>
        </w:rPr>
        <w:t>要求严格按照批复计划实施项目工程</w:t>
      </w:r>
      <w:r>
        <w:rPr>
          <w:rFonts w:hint="eastAsia" w:ascii="Malgun Gothic Semilight" w:hAnsi="Malgun Gothic Semilight" w:eastAsia="Malgun Gothic Semilight" w:cs="Malgun Gothic Semilight"/>
          <w:sz w:val="32"/>
        </w:rPr>
        <w:t>，</w:t>
      </w:r>
      <w:r>
        <w:rPr>
          <w:rFonts w:hint="eastAsia" w:cs="宋体"/>
          <w:sz w:val="32"/>
        </w:rPr>
        <w:t>并保质保量按期完成</w:t>
      </w:r>
      <w:r>
        <w:rPr>
          <w:rFonts w:hint="eastAsia" w:ascii="Malgun Gothic Semilight" w:hAnsi="Malgun Gothic Semilight" w:eastAsia="Malgun Gothic Semilight" w:cs="Malgun Gothic Semilight"/>
          <w:sz w:val="32"/>
        </w:rPr>
        <w:t>；</w:t>
      </w:r>
      <w:r>
        <w:rPr>
          <w:rFonts w:hint="eastAsia" w:cs="宋体"/>
          <w:sz w:val="32"/>
        </w:rPr>
        <w:t>四是严把验收关</w:t>
      </w:r>
      <w:r>
        <w:rPr>
          <w:rFonts w:hint="eastAsia" w:ascii="Malgun Gothic Semilight" w:hAnsi="Malgun Gothic Semilight" w:eastAsia="Malgun Gothic Semilight" w:cs="Malgun Gothic Semilight"/>
          <w:sz w:val="32"/>
        </w:rPr>
        <w:t>。</w:t>
      </w:r>
      <w:r>
        <w:rPr>
          <w:rFonts w:hint="eastAsia" w:cs="宋体"/>
          <w:sz w:val="32"/>
        </w:rPr>
        <w:t>在项目工程完工后</w:t>
      </w:r>
      <w:r>
        <w:rPr>
          <w:rFonts w:hint="eastAsia" w:ascii="Malgun Gothic Semilight" w:hAnsi="Malgun Gothic Semilight" w:eastAsia="Malgun Gothic Semilight" w:cs="Malgun Gothic Semilight"/>
          <w:sz w:val="32"/>
        </w:rPr>
        <w:t>，</w:t>
      </w:r>
      <w:r>
        <w:rPr>
          <w:rFonts w:hint="eastAsia" w:cs="宋体"/>
          <w:sz w:val="32"/>
        </w:rPr>
        <w:t>通过村级自验和乡镇初验</w:t>
      </w:r>
      <w:r>
        <w:rPr>
          <w:rFonts w:hint="eastAsia" w:ascii="Malgun Gothic Semilight" w:hAnsi="Malgun Gothic Semilight" w:eastAsia="Malgun Gothic Semilight" w:cs="Malgun Gothic Semilight"/>
          <w:sz w:val="32"/>
        </w:rPr>
        <w:t>，</w:t>
      </w:r>
      <w:r>
        <w:rPr>
          <w:rFonts w:hint="eastAsia" w:cs="宋体"/>
          <w:sz w:val="32"/>
        </w:rPr>
        <w:t>对验收不合格项目坚决不予兑付剩余质保资金</w:t>
      </w:r>
      <w:r>
        <w:rPr>
          <w:rFonts w:hint="eastAsia" w:ascii="Malgun Gothic Semilight" w:hAnsi="Malgun Gothic Semilight" w:eastAsia="Malgun Gothic Semilight" w:cs="Malgun Gothic Semilight"/>
          <w:sz w:val="32"/>
        </w:rPr>
        <w:t>；</w:t>
      </w:r>
      <w:r>
        <w:rPr>
          <w:rFonts w:hint="eastAsia" w:cs="宋体"/>
          <w:sz w:val="32"/>
        </w:rPr>
        <w:t>五是严把资金关</w:t>
      </w:r>
      <w:r>
        <w:rPr>
          <w:rFonts w:hint="eastAsia" w:ascii="Malgun Gothic Semilight" w:hAnsi="Malgun Gothic Semilight" w:eastAsia="Malgun Gothic Semilight" w:cs="Malgun Gothic Semilight"/>
          <w:sz w:val="32"/>
        </w:rPr>
        <w:t>。</w:t>
      </w:r>
      <w:r>
        <w:rPr>
          <w:rFonts w:hint="eastAsia" w:cs="宋体"/>
          <w:sz w:val="32"/>
        </w:rPr>
        <w:t>在资金管理上</w:t>
      </w:r>
      <w:r>
        <w:rPr>
          <w:rFonts w:hint="eastAsia" w:ascii="Malgun Gothic Semilight" w:hAnsi="Malgun Gothic Semilight" w:eastAsia="Malgun Gothic Semilight" w:cs="Malgun Gothic Semilight"/>
          <w:sz w:val="32"/>
        </w:rPr>
        <w:t>，</w:t>
      </w:r>
      <w:r>
        <w:rPr>
          <w:rFonts w:hint="eastAsia" w:cs="宋体"/>
          <w:sz w:val="32"/>
        </w:rPr>
        <w:t>我们严格按照资金和项目管理办法的规定</w:t>
      </w:r>
      <w:r>
        <w:rPr>
          <w:rFonts w:hint="eastAsia" w:ascii="Malgun Gothic Semilight" w:hAnsi="Malgun Gothic Semilight" w:eastAsia="Malgun Gothic Semilight" w:cs="Malgun Gothic Semilight"/>
          <w:sz w:val="32"/>
        </w:rPr>
        <w:t>，</w:t>
      </w:r>
      <w:r>
        <w:rPr>
          <w:rFonts w:hint="eastAsia" w:cs="宋体"/>
          <w:sz w:val="32"/>
        </w:rPr>
        <w:t>对专项资金实行专户管理</w:t>
      </w:r>
      <w:r>
        <w:rPr>
          <w:rFonts w:hint="eastAsia" w:ascii="Malgun Gothic Semilight" w:hAnsi="Malgun Gothic Semilight" w:eastAsia="Malgun Gothic Semilight" w:cs="Malgun Gothic Semilight"/>
          <w:sz w:val="32"/>
        </w:rPr>
        <w:t>、</w:t>
      </w:r>
      <w:r>
        <w:rPr>
          <w:rFonts w:hint="eastAsia" w:cs="宋体"/>
          <w:sz w:val="32"/>
        </w:rPr>
        <w:t>封闭运行和报账支付</w:t>
      </w:r>
      <w:r>
        <w:rPr>
          <w:rFonts w:hint="eastAsia" w:ascii="Malgun Gothic Semilight" w:hAnsi="Malgun Gothic Semilight" w:eastAsia="Malgun Gothic Semilight" w:cs="Malgun Gothic Semilight"/>
          <w:sz w:val="32"/>
        </w:rPr>
        <w:t>，</w:t>
      </w:r>
      <w:r>
        <w:rPr>
          <w:rFonts w:hint="eastAsia" w:cs="宋体"/>
          <w:sz w:val="32"/>
        </w:rPr>
        <w:t>做到管理规范和使用合规</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4、</w:t>
      </w:r>
      <w:r>
        <w:rPr>
          <w:rFonts w:hint="eastAsia" w:cs="宋体"/>
          <w:sz w:val="32"/>
        </w:rPr>
        <w:t>注重检查</w:t>
      </w:r>
      <w:r>
        <w:rPr>
          <w:rFonts w:hint="eastAsia" w:ascii="Malgun Gothic Semilight" w:hAnsi="Malgun Gothic Semilight" w:eastAsia="Malgun Gothic Semilight" w:cs="Malgun Gothic Semilight"/>
          <w:sz w:val="32"/>
        </w:rPr>
        <w:t>，</w:t>
      </w:r>
      <w:r>
        <w:rPr>
          <w:rFonts w:hint="eastAsia" w:cs="宋体"/>
          <w:sz w:val="32"/>
        </w:rPr>
        <w:t>强化监督</w:t>
      </w:r>
      <w:r>
        <w:rPr>
          <w:rFonts w:hint="eastAsia" w:ascii="Malgun Gothic Semilight" w:hAnsi="Malgun Gothic Semilight" w:eastAsia="Malgun Gothic Semilight" w:cs="Malgun Gothic Semilight"/>
          <w:sz w:val="32"/>
        </w:rPr>
        <w:t>。</w:t>
      </w:r>
      <w:r>
        <w:rPr>
          <w:rFonts w:hint="eastAsia" w:cs="宋体"/>
          <w:sz w:val="32"/>
        </w:rPr>
        <w:t>项目绩效评价小组组织人员对项目实施情况进行检查</w:t>
      </w:r>
      <w:r>
        <w:rPr>
          <w:rFonts w:hint="eastAsia" w:ascii="Malgun Gothic Semilight" w:hAnsi="Malgun Gothic Semilight" w:eastAsia="Malgun Gothic Semilight" w:cs="Malgun Gothic Semilight"/>
          <w:sz w:val="32"/>
        </w:rPr>
        <w:t>，</w:t>
      </w:r>
      <w:r>
        <w:rPr>
          <w:rFonts w:hint="eastAsia" w:cs="宋体"/>
          <w:sz w:val="32"/>
        </w:rPr>
        <w:t>从项目文本</w:t>
      </w:r>
      <w:r>
        <w:rPr>
          <w:rFonts w:hint="eastAsia" w:ascii="Malgun Gothic Semilight" w:hAnsi="Malgun Gothic Semilight" w:eastAsia="Malgun Gothic Semilight" w:cs="Malgun Gothic Semilight"/>
          <w:sz w:val="32"/>
        </w:rPr>
        <w:t>、</w:t>
      </w:r>
      <w:r>
        <w:rPr>
          <w:rFonts w:hint="eastAsia" w:cs="宋体"/>
          <w:sz w:val="32"/>
        </w:rPr>
        <w:t>会议记录</w:t>
      </w:r>
      <w:r>
        <w:rPr>
          <w:rFonts w:hint="eastAsia" w:ascii="Malgun Gothic Semilight" w:hAnsi="Malgun Gothic Semilight" w:eastAsia="Malgun Gothic Semilight" w:cs="Malgun Gothic Semilight"/>
          <w:sz w:val="32"/>
        </w:rPr>
        <w:t>、</w:t>
      </w:r>
      <w:r>
        <w:rPr>
          <w:rFonts w:hint="eastAsia" w:cs="宋体"/>
          <w:sz w:val="32"/>
        </w:rPr>
        <w:t>公示榜底</w:t>
      </w:r>
      <w:r>
        <w:rPr>
          <w:rFonts w:hint="eastAsia" w:ascii="Malgun Gothic Semilight" w:hAnsi="Malgun Gothic Semilight" w:eastAsia="Malgun Gothic Semilight" w:cs="Malgun Gothic Semilight"/>
          <w:sz w:val="32"/>
        </w:rPr>
        <w:t>，</w:t>
      </w:r>
      <w:r>
        <w:rPr>
          <w:rFonts w:hint="eastAsia" w:cs="宋体"/>
          <w:sz w:val="32"/>
        </w:rPr>
        <w:t>以及收款收据存根</w:t>
      </w:r>
      <w:r>
        <w:rPr>
          <w:rFonts w:hint="eastAsia" w:ascii="Malgun Gothic Semilight" w:hAnsi="Malgun Gothic Semilight" w:eastAsia="Malgun Gothic Semilight" w:cs="Malgun Gothic Semilight"/>
          <w:sz w:val="32"/>
        </w:rPr>
        <w:t>、</w:t>
      </w:r>
      <w:r>
        <w:rPr>
          <w:rFonts w:hint="eastAsia" w:cs="宋体"/>
          <w:sz w:val="32"/>
        </w:rPr>
        <w:t>决算</w:t>
      </w:r>
      <w:r>
        <w:rPr>
          <w:rFonts w:hint="eastAsia" w:ascii="Malgun Gothic Semilight" w:hAnsi="Malgun Gothic Semilight" w:eastAsia="Malgun Gothic Semilight" w:cs="Malgun Gothic Semilight"/>
          <w:sz w:val="32"/>
        </w:rPr>
        <w:t>、</w:t>
      </w:r>
      <w:r>
        <w:rPr>
          <w:rFonts w:hint="eastAsia" w:cs="宋体"/>
          <w:sz w:val="32"/>
        </w:rPr>
        <w:t>村级自验表等基础资料开展经常性检查</w:t>
      </w:r>
      <w:r>
        <w:rPr>
          <w:rFonts w:hint="eastAsia" w:ascii="Malgun Gothic Semilight" w:hAnsi="Malgun Gothic Semilight" w:eastAsia="Malgun Gothic Semilight" w:cs="Malgun Gothic Semilight"/>
          <w:sz w:val="32"/>
        </w:rPr>
        <w:t>。</w:t>
      </w:r>
      <w:r>
        <w:rPr>
          <w:rFonts w:hint="eastAsia" w:cs="宋体"/>
          <w:sz w:val="32"/>
        </w:rPr>
        <w:t>并对项目实施进度和质量不定期进行抽查</w:t>
      </w:r>
      <w:r>
        <w:rPr>
          <w:rFonts w:hint="eastAsia" w:ascii="Malgun Gothic Semilight" w:hAnsi="Malgun Gothic Semilight" w:eastAsia="Malgun Gothic Semilight" w:cs="Malgun Gothic Semilight"/>
          <w:sz w:val="32"/>
        </w:rPr>
        <w:t>，</w:t>
      </w:r>
      <w:r>
        <w:rPr>
          <w:rFonts w:hint="eastAsia" w:cs="宋体"/>
          <w:sz w:val="32"/>
        </w:rPr>
        <w:t>及时掌握工作的开展情况</w:t>
      </w:r>
      <w:r>
        <w:rPr>
          <w:rFonts w:hint="eastAsia" w:ascii="Malgun Gothic Semilight" w:hAnsi="Malgun Gothic Semilight" w:eastAsia="Malgun Gothic Semilight" w:cs="Malgun Gothic Semilight"/>
          <w:sz w:val="32"/>
        </w:rPr>
        <w:t>。</w:t>
      </w:r>
      <w:r>
        <w:rPr>
          <w:rFonts w:hint="eastAsia" w:cs="宋体"/>
          <w:sz w:val="32"/>
        </w:rPr>
        <w:t>加强对工作的日常监管</w:t>
      </w:r>
      <w:r>
        <w:rPr>
          <w:rFonts w:hint="eastAsia" w:ascii="Malgun Gothic Semilight" w:hAnsi="Malgun Gothic Semilight" w:eastAsia="Malgun Gothic Semilight" w:cs="Malgun Gothic Semilight"/>
          <w:sz w:val="32"/>
        </w:rPr>
        <w:t>，</w:t>
      </w:r>
      <w:r>
        <w:rPr>
          <w:rFonts w:hint="eastAsia" w:cs="宋体"/>
          <w:sz w:val="32"/>
        </w:rPr>
        <w:t>发现问题及时纠正</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w:t>
      </w:r>
      <w:r>
        <w:rPr>
          <w:rFonts w:hint="eastAsia" w:cs="宋体"/>
          <w:sz w:val="32"/>
        </w:rPr>
        <w:t>二</w:t>
      </w:r>
      <w:r>
        <w:rPr>
          <w:rFonts w:hint="eastAsia" w:ascii="Malgun Gothic Semilight" w:hAnsi="Malgun Gothic Semilight" w:eastAsia="Malgun Gothic Semilight" w:cs="Malgun Gothic Semilight"/>
          <w:sz w:val="32"/>
        </w:rPr>
        <w:t>）</w:t>
      </w:r>
      <w:r>
        <w:rPr>
          <w:rFonts w:hint="eastAsia" w:cs="宋体"/>
          <w:sz w:val="32"/>
        </w:rPr>
        <w:t>存在的问题</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1、</w:t>
      </w:r>
      <w:r>
        <w:rPr>
          <w:rFonts w:hint="eastAsia" w:cs="宋体"/>
          <w:sz w:val="32"/>
        </w:rPr>
        <w:t>尚未制定在新荣村农田水利工程项目完成后的后期管理协议</w:t>
      </w:r>
      <w:r>
        <w:rPr>
          <w:rFonts w:hint="eastAsia" w:ascii="Malgun Gothic Semilight" w:hAnsi="Malgun Gothic Semilight" w:eastAsia="Malgun Gothic Semilight" w:cs="Malgun Gothic Semilight"/>
          <w:sz w:val="32"/>
        </w:rPr>
        <w:t>，</w:t>
      </w:r>
      <w:r>
        <w:rPr>
          <w:rFonts w:hint="eastAsia" w:cs="宋体"/>
          <w:sz w:val="32"/>
        </w:rPr>
        <w:t>在该方面的考核管理还有待加强</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2、</w:t>
      </w:r>
      <w:r>
        <w:rPr>
          <w:rFonts w:hint="eastAsia" w:cs="宋体"/>
          <w:sz w:val="32"/>
        </w:rPr>
        <w:t>绩效目标体系设立指标不够精细</w:t>
      </w:r>
      <w:r>
        <w:rPr>
          <w:rFonts w:hint="eastAsia" w:ascii="Malgun Gothic Semilight" w:hAnsi="Malgun Gothic Semilight" w:eastAsia="Malgun Gothic Semilight" w:cs="Malgun Gothic Semilight"/>
          <w:sz w:val="32"/>
        </w:rPr>
        <w:t>，</w:t>
      </w:r>
      <w:r>
        <w:rPr>
          <w:rFonts w:hint="eastAsia" w:cs="宋体"/>
          <w:sz w:val="32"/>
        </w:rPr>
        <w:t>前期设立指标时考虑不够周全</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3、</w:t>
      </w:r>
      <w:r>
        <w:rPr>
          <w:rFonts w:hint="eastAsia" w:cs="宋体"/>
          <w:sz w:val="32"/>
        </w:rPr>
        <w:t>村民受益程度不同</w:t>
      </w:r>
      <w:r>
        <w:rPr>
          <w:rFonts w:hint="eastAsia" w:ascii="Malgun Gothic Semilight" w:hAnsi="Malgun Gothic Semilight" w:eastAsia="Malgun Gothic Semilight" w:cs="Malgun Gothic Semilight"/>
          <w:sz w:val="32"/>
        </w:rPr>
        <w:t>，</w:t>
      </w:r>
      <w:r>
        <w:rPr>
          <w:rFonts w:hint="eastAsia" w:cs="宋体"/>
          <w:sz w:val="32"/>
        </w:rPr>
        <w:t>部分村民积极性不高</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w:t>
      </w:r>
      <w:r>
        <w:rPr>
          <w:rFonts w:hint="eastAsia" w:cs="宋体"/>
          <w:sz w:val="32"/>
        </w:rPr>
        <w:t>三</w:t>
      </w:r>
      <w:r>
        <w:rPr>
          <w:rFonts w:hint="eastAsia" w:ascii="Malgun Gothic Semilight" w:hAnsi="Malgun Gothic Semilight" w:eastAsia="Malgun Gothic Semilight" w:cs="Malgun Gothic Semilight"/>
          <w:sz w:val="32"/>
        </w:rPr>
        <w:t>）</w:t>
      </w:r>
      <w:r>
        <w:rPr>
          <w:rFonts w:hint="eastAsia" w:cs="宋体"/>
          <w:sz w:val="32"/>
        </w:rPr>
        <w:t>建议和改进举措</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1、</w:t>
      </w:r>
      <w:r>
        <w:rPr>
          <w:rFonts w:hint="eastAsia" w:cs="宋体"/>
          <w:sz w:val="32"/>
        </w:rPr>
        <w:t>加大对项目前期的宣传动员工作</w:t>
      </w:r>
      <w:r>
        <w:rPr>
          <w:rFonts w:hint="eastAsia" w:ascii="Malgun Gothic Semilight" w:hAnsi="Malgun Gothic Semilight" w:eastAsia="Malgun Gothic Semilight" w:cs="Malgun Gothic Semilight"/>
          <w:sz w:val="32"/>
        </w:rPr>
        <w:t>，</w:t>
      </w:r>
      <w:r>
        <w:rPr>
          <w:rFonts w:hint="eastAsia" w:cs="宋体"/>
          <w:sz w:val="32"/>
        </w:rPr>
        <w:t>通过各类会议加大政策宣传力度</w:t>
      </w:r>
      <w:r>
        <w:rPr>
          <w:rFonts w:hint="eastAsia" w:ascii="Malgun Gothic Semilight" w:hAnsi="Malgun Gothic Semilight" w:eastAsia="Malgun Gothic Semilight" w:cs="Malgun Gothic Semilight"/>
          <w:sz w:val="32"/>
        </w:rPr>
        <w:t>，</w:t>
      </w:r>
      <w:r>
        <w:rPr>
          <w:rFonts w:hint="eastAsia" w:cs="宋体"/>
          <w:sz w:val="32"/>
        </w:rPr>
        <w:t>增强农民群众的积极性</w:t>
      </w:r>
      <w:r>
        <w:rPr>
          <w:rFonts w:hint="eastAsia" w:ascii="Malgun Gothic Semilight" w:hAnsi="Malgun Gothic Semilight" w:eastAsia="Malgun Gothic Semilight" w:cs="Malgun Gothic Semilight"/>
          <w:sz w:val="32"/>
        </w:rPr>
        <w:t>，</w:t>
      </w:r>
      <w:r>
        <w:rPr>
          <w:rFonts w:hint="eastAsia" w:cs="宋体"/>
          <w:sz w:val="32"/>
        </w:rPr>
        <w:t>调动群众的主体作用</w:t>
      </w:r>
      <w:r>
        <w:rPr>
          <w:rFonts w:hint="eastAsia" w:ascii="Malgun Gothic Semilight" w:hAnsi="Malgun Gothic Semilight" w:eastAsia="Malgun Gothic Semilight" w:cs="Malgun Gothic Semilight"/>
          <w:sz w:val="32"/>
        </w:rPr>
        <w:t>，</w:t>
      </w:r>
      <w:r>
        <w:rPr>
          <w:rFonts w:hint="eastAsia" w:cs="宋体"/>
          <w:sz w:val="32"/>
        </w:rPr>
        <w:t>为后续工作有序开展和规范运行奠定良好的群众基础</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2、</w:t>
      </w:r>
      <w:r>
        <w:rPr>
          <w:rFonts w:hint="eastAsia" w:cs="宋体"/>
          <w:sz w:val="32"/>
        </w:rPr>
        <w:t>总结前期项目的经验</w:t>
      </w:r>
      <w:r>
        <w:rPr>
          <w:rFonts w:hint="eastAsia" w:ascii="Malgun Gothic Semilight" w:hAnsi="Malgun Gothic Semilight" w:eastAsia="Malgun Gothic Semilight" w:cs="Malgun Gothic Semilight"/>
          <w:sz w:val="32"/>
        </w:rPr>
        <w:t>，</w:t>
      </w:r>
      <w:r>
        <w:rPr>
          <w:rFonts w:hint="eastAsia" w:cs="宋体"/>
          <w:sz w:val="32"/>
        </w:rPr>
        <w:t>多与其他乡镇进行交流</w:t>
      </w:r>
      <w:r>
        <w:rPr>
          <w:rFonts w:hint="eastAsia" w:ascii="Malgun Gothic Semilight" w:hAnsi="Malgun Gothic Semilight" w:eastAsia="Malgun Gothic Semilight" w:cs="Malgun Gothic Semilight"/>
          <w:sz w:val="32"/>
        </w:rPr>
        <w:t>，</w:t>
      </w:r>
      <w:r>
        <w:rPr>
          <w:rFonts w:hint="eastAsia" w:cs="宋体"/>
          <w:sz w:val="32"/>
        </w:rPr>
        <w:t>不断完善项目的绩效目标体系</w:t>
      </w:r>
      <w:r>
        <w:rPr>
          <w:rFonts w:hint="eastAsia" w:ascii="Malgun Gothic Semilight" w:hAnsi="Malgun Gothic Semilight" w:eastAsia="Malgun Gothic Semilight" w:cs="Malgun Gothic Semilight"/>
          <w:sz w:val="32"/>
        </w:rPr>
        <w:t>。</w:t>
      </w:r>
    </w:p>
    <w:p>
      <w:pPr>
        <w:pStyle w:val="2"/>
        <w:shd w:val="clear" w:color="auto" w:fill="FFFFFF"/>
        <w:spacing w:before="0" w:beforeAutospacing="0" w:after="0" w:afterAutospacing="0" w:line="240" w:lineRule="atLeast"/>
        <w:ind w:firstLine="640" w:firstLineChars="200"/>
        <w:rPr>
          <w:rFonts w:ascii="仿宋_GB2312" w:hAnsi="Times New Roman" w:eastAsia="仿宋_GB2312"/>
          <w:sz w:val="32"/>
        </w:rPr>
      </w:pPr>
      <w:r>
        <w:rPr>
          <w:rFonts w:hint="eastAsia" w:ascii="仿宋_GB2312" w:hAnsi="Times New Roman" w:eastAsia="仿宋_GB2312"/>
          <w:sz w:val="32"/>
        </w:rPr>
        <w:t>3、</w:t>
      </w:r>
      <w:r>
        <w:rPr>
          <w:rFonts w:hint="eastAsia" w:cs="宋体"/>
          <w:sz w:val="32"/>
        </w:rPr>
        <w:t>完善项目后期管理协议</w:t>
      </w:r>
      <w:r>
        <w:rPr>
          <w:rFonts w:hint="eastAsia" w:ascii="Malgun Gothic Semilight" w:hAnsi="Malgun Gothic Semilight" w:eastAsia="Malgun Gothic Semilight" w:cs="Malgun Gothic Semilight"/>
          <w:sz w:val="32"/>
        </w:rPr>
        <w:t>，</w:t>
      </w:r>
      <w:r>
        <w:rPr>
          <w:rFonts w:hint="eastAsia" w:cs="宋体"/>
          <w:sz w:val="32"/>
        </w:rPr>
        <w:t>延长工程持续使用年限</w:t>
      </w:r>
      <w:r>
        <w:rPr>
          <w:rFonts w:hint="eastAsia" w:ascii="Malgun Gothic Semilight" w:hAnsi="Malgun Gothic Semilight" w:eastAsia="Malgun Gothic Semilight" w:cs="Malgun Gothic Semilight"/>
          <w:sz w:val="32"/>
        </w:rPr>
        <w:t>，</w:t>
      </w:r>
      <w:r>
        <w:rPr>
          <w:rFonts w:hint="eastAsia" w:cs="宋体"/>
          <w:sz w:val="32"/>
        </w:rPr>
        <w:t>使项目发挥更长效的作用</w:t>
      </w:r>
      <w:r>
        <w:rPr>
          <w:rFonts w:hint="eastAsia" w:ascii="仿宋_GB2312" w:hAnsi="Times New Roman" w:eastAsia="仿宋_GB2312"/>
          <w:sz w:val="32"/>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algun Gothic Semilight">
    <w:altName w:val="宋体"/>
    <w:panose1 w:val="020B0502040204020203"/>
    <w:charset w:val="86"/>
    <w:family w:val="swiss"/>
    <w:pitch w:val="default"/>
    <w:sig w:usb0="00000000" w:usb1="00000000" w:usb2="00000012" w:usb3="00000000" w:csb0="003E01BD"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57302"/>
    <w:rsid w:val="00477217"/>
    <w:rsid w:val="00657302"/>
    <w:rsid w:val="009878BF"/>
    <w:rsid w:val="00D771A7"/>
    <w:rsid w:val="2F006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1067</Words>
  <Characters>6086</Characters>
  <Lines>50</Lines>
  <Paragraphs>14</Paragraphs>
  <TotalTime>1</TotalTime>
  <ScaleCrop>false</ScaleCrop>
  <LinksUpToDate>false</LinksUpToDate>
  <CharactersWithSpaces>7139</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2021-09-23T09:06:00Z</dcterms:created>
  <dc:creator>Administrator</dc:creator>
  <cp:lastModifiedBy>Administrator</cp:lastModifiedBy>
  <dcterms:modified xsi:type="dcterms:W3CDTF">2021-09-23T09:51:52Z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305D85B8D86D46A7A2C08DF6AB478963</vt:lpwstr>
  </property>
</Properties>
</file>