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宋体" w:hAnsi="宋体"/>
          <w:b/>
          <w:bCs/>
          <w:sz w:val="44"/>
        </w:rPr>
      </w:pPr>
    </w:p>
    <w:p>
      <w:pPr>
        <w:spacing w:line="560" w:lineRule="exact"/>
        <w:jc w:val="center"/>
        <w:rPr>
          <w:rFonts w:hint="eastAsia" w:ascii="宋体" w:hAnsi="宋体"/>
          <w:b/>
          <w:bCs/>
          <w:sz w:val="44"/>
        </w:rPr>
      </w:pPr>
    </w:p>
    <w:p>
      <w:pPr>
        <w:spacing w:line="560" w:lineRule="exact"/>
        <w:jc w:val="center"/>
        <w:rPr>
          <w:rFonts w:hint="eastAsia" w:ascii="宋体" w:hAnsi="宋体"/>
          <w:b/>
          <w:bCs/>
          <w:sz w:val="44"/>
        </w:rPr>
      </w:pPr>
    </w:p>
    <w:p>
      <w:pPr>
        <w:spacing w:line="560" w:lineRule="exact"/>
        <w:jc w:val="center"/>
        <w:rPr>
          <w:rFonts w:hint="eastAsia" w:ascii="宋体" w:hAnsi="宋体"/>
          <w:b/>
          <w:bCs/>
          <w:sz w:val="44"/>
        </w:rPr>
      </w:pPr>
    </w:p>
    <w:p>
      <w:pPr>
        <w:spacing w:line="560" w:lineRule="exact"/>
        <w:jc w:val="center"/>
        <w:rPr>
          <w:rFonts w:hint="eastAsia" w:ascii="宋体" w:hAnsi="宋体"/>
          <w:b/>
          <w:bCs/>
          <w:sz w:val="44"/>
        </w:rPr>
      </w:pPr>
    </w:p>
    <w:p>
      <w:pPr>
        <w:spacing w:line="560" w:lineRule="exact"/>
        <w:jc w:val="center"/>
        <w:rPr>
          <w:rFonts w:hint="eastAsia" w:ascii="宋体" w:hAnsi="宋体"/>
          <w:b/>
          <w:bCs/>
          <w:sz w:val="44"/>
        </w:rPr>
      </w:pPr>
    </w:p>
    <w:p>
      <w:pPr>
        <w:spacing w:line="560" w:lineRule="exact"/>
        <w:jc w:val="center"/>
        <w:rPr>
          <w:rFonts w:hint="eastAsia" w:ascii="方正小标宋简体" w:hAnsi="方正小标宋简体" w:eastAsia="方正小标宋简体" w:cs="方正小标宋简体"/>
          <w:spacing w:val="113"/>
          <w:sz w:val="44"/>
          <w:lang w:val="en-US" w:eastAsia="zh-CN"/>
        </w:rPr>
      </w:pPr>
      <w:r>
        <w:rPr>
          <w:rFonts w:hint="eastAsia" w:ascii="方正小标宋简体" w:hAnsi="方正小标宋简体" w:eastAsia="方正小标宋简体" w:cs="方正小标宋简体"/>
          <w:spacing w:val="113"/>
          <w:sz w:val="44"/>
          <w:lang w:val="en-US" w:eastAsia="zh-CN"/>
        </w:rPr>
        <w:t>乌拉特后旗应急管理局</w:t>
      </w:r>
    </w:p>
    <w:p>
      <w:pPr>
        <w:spacing w:line="560" w:lineRule="exact"/>
        <w:jc w:val="center"/>
        <w:rPr>
          <w:rFonts w:hint="eastAsia" w:ascii="方正小标宋简体" w:hAnsi="方正小标宋简体" w:eastAsia="方正小标宋简体" w:cs="方正小标宋简体"/>
          <w:spacing w:val="113"/>
          <w:sz w:val="44"/>
        </w:rPr>
      </w:pPr>
      <w:r>
        <w:rPr>
          <w:rFonts w:hint="eastAsia" w:ascii="方正小标宋简体" w:hAnsi="方正小标宋简体" w:eastAsia="方正小标宋简体" w:cs="方正小标宋简体"/>
          <w:spacing w:val="113"/>
          <w:sz w:val="44"/>
        </w:rPr>
        <w:t>2021年部门预算</w:t>
      </w:r>
    </w:p>
    <w:p>
      <w:pPr>
        <w:spacing w:line="560" w:lineRule="exact"/>
        <w:jc w:val="center"/>
        <w:rPr>
          <w:rFonts w:hint="eastAsia" w:ascii="方正小标宋简体" w:hAnsi="方正小标宋简体" w:eastAsia="方正小标宋简体" w:cs="方正小标宋简体"/>
          <w:spacing w:val="113"/>
          <w:sz w:val="44"/>
        </w:rPr>
      </w:pPr>
      <w:r>
        <w:rPr>
          <w:rFonts w:hint="eastAsia" w:ascii="方正小标宋简体" w:hAnsi="方正小标宋简体" w:eastAsia="方正小标宋简体" w:cs="方正小标宋简体"/>
          <w:spacing w:val="113"/>
          <w:sz w:val="44"/>
        </w:rPr>
        <w:t>公开报告</w:t>
      </w:r>
    </w:p>
    <w:p>
      <w:pPr>
        <w:spacing w:line="560" w:lineRule="exact"/>
        <w:jc w:val="center"/>
        <w:rPr>
          <w:rFonts w:hint="eastAsia" w:ascii="宋体" w:hAnsi="宋体"/>
          <w:b/>
          <w:bCs/>
          <w:sz w:val="44"/>
        </w:rPr>
      </w:pPr>
    </w:p>
    <w:p>
      <w:pPr>
        <w:spacing w:line="560" w:lineRule="exact"/>
        <w:jc w:val="center"/>
        <w:rPr>
          <w:rFonts w:hint="eastAsia" w:ascii="宋体" w:hAnsi="宋体"/>
          <w:b/>
          <w:bCs/>
          <w:sz w:val="44"/>
        </w:rPr>
      </w:pPr>
    </w:p>
    <w:p>
      <w:pPr>
        <w:spacing w:line="560" w:lineRule="exact"/>
        <w:jc w:val="center"/>
        <w:rPr>
          <w:rFonts w:hint="eastAsia" w:ascii="宋体" w:hAnsi="宋体"/>
          <w:b/>
          <w:bCs/>
          <w:sz w:val="44"/>
        </w:rPr>
      </w:pPr>
    </w:p>
    <w:p>
      <w:pPr>
        <w:spacing w:line="560" w:lineRule="exact"/>
        <w:jc w:val="center"/>
        <w:rPr>
          <w:rFonts w:hint="eastAsia" w:ascii="宋体" w:hAnsi="宋体"/>
          <w:b/>
          <w:bCs/>
          <w:sz w:val="44"/>
        </w:rPr>
      </w:pPr>
    </w:p>
    <w:p>
      <w:pPr>
        <w:spacing w:line="560" w:lineRule="exact"/>
        <w:jc w:val="center"/>
        <w:rPr>
          <w:rFonts w:hint="eastAsia" w:ascii="宋体" w:hAnsi="宋体"/>
          <w:b/>
          <w:bCs/>
          <w:sz w:val="44"/>
        </w:rPr>
      </w:pPr>
    </w:p>
    <w:p>
      <w:pPr>
        <w:spacing w:line="560" w:lineRule="exact"/>
        <w:jc w:val="center"/>
        <w:rPr>
          <w:rFonts w:hint="eastAsia" w:ascii="宋体" w:hAnsi="宋体"/>
          <w:b/>
          <w:bCs/>
          <w:sz w:val="44"/>
        </w:rPr>
      </w:pPr>
    </w:p>
    <w:p>
      <w:pPr>
        <w:spacing w:line="560" w:lineRule="exact"/>
        <w:jc w:val="center"/>
        <w:rPr>
          <w:rFonts w:hint="eastAsia" w:ascii="宋体" w:hAnsi="宋体"/>
          <w:b/>
          <w:bCs/>
          <w:sz w:val="44"/>
        </w:rPr>
      </w:pPr>
    </w:p>
    <w:p>
      <w:pPr>
        <w:spacing w:line="560" w:lineRule="exact"/>
        <w:jc w:val="center"/>
        <w:rPr>
          <w:rFonts w:hint="eastAsia" w:ascii="宋体" w:hAnsi="宋体"/>
          <w:b/>
          <w:bCs/>
          <w:sz w:val="44"/>
        </w:rPr>
      </w:pPr>
    </w:p>
    <w:p>
      <w:pPr>
        <w:spacing w:line="560" w:lineRule="exact"/>
        <w:jc w:val="center"/>
        <w:rPr>
          <w:rFonts w:hint="eastAsia" w:ascii="宋体" w:hAnsi="宋体"/>
          <w:b/>
          <w:bCs/>
          <w:sz w:val="44"/>
        </w:rPr>
      </w:pPr>
    </w:p>
    <w:p>
      <w:pPr>
        <w:spacing w:line="560" w:lineRule="exact"/>
        <w:rPr>
          <w:rFonts w:hint="eastAsia" w:ascii="宋体" w:hAnsi="宋体"/>
          <w:b/>
          <w:bCs/>
          <w:sz w:val="44"/>
        </w:rPr>
      </w:pPr>
    </w:p>
    <w:p>
      <w:pPr>
        <w:spacing w:line="560" w:lineRule="exact"/>
        <w:jc w:val="center"/>
        <w:rPr>
          <w:rFonts w:hint="eastAsia" w:ascii="宋体" w:hAnsi="宋体"/>
          <w:b/>
          <w:bCs/>
          <w:sz w:val="44"/>
        </w:rPr>
      </w:pPr>
    </w:p>
    <w:p>
      <w:pPr>
        <w:spacing w:line="560" w:lineRule="exact"/>
        <w:jc w:val="center"/>
        <w:rPr>
          <w:rFonts w:hint="eastAsia" w:ascii="仿宋_GB2312" w:hAnsi="宋体" w:eastAsia="仿宋_GB2312"/>
          <w:bCs/>
          <w:sz w:val="32"/>
          <w:szCs w:val="32"/>
          <w:lang w:val="en-US" w:eastAsia="zh-CN"/>
        </w:rPr>
      </w:pPr>
      <w:r>
        <w:rPr>
          <w:rFonts w:hint="eastAsia" w:ascii="仿宋_GB2312" w:hAnsi="宋体" w:eastAsia="仿宋_GB2312"/>
          <w:bCs/>
          <w:sz w:val="32"/>
          <w:szCs w:val="32"/>
          <w:lang w:val="en-US" w:eastAsia="zh-CN"/>
        </w:rPr>
        <w:t>乌拉特后旗应急管理局</w:t>
      </w:r>
    </w:p>
    <w:p>
      <w:pPr>
        <w:spacing w:line="560" w:lineRule="exact"/>
        <w:jc w:val="center"/>
        <w:rPr>
          <w:rFonts w:hint="eastAsia" w:ascii="宋体" w:hAnsi="宋体"/>
          <w:sz w:val="32"/>
          <w:szCs w:val="32"/>
        </w:rPr>
      </w:pPr>
      <w:r>
        <w:rPr>
          <w:rFonts w:hint="eastAsia" w:ascii="仿宋" w:hAnsi="仿宋" w:eastAsia="仿宋" w:cs="仿宋"/>
          <w:sz w:val="32"/>
          <w:szCs w:val="32"/>
        </w:rPr>
        <w:t>2021年</w:t>
      </w:r>
      <w:r>
        <w:rPr>
          <w:rFonts w:hint="eastAsia" w:ascii="仿宋" w:hAnsi="仿宋" w:eastAsia="仿宋" w:cs="仿宋"/>
          <w:sz w:val="32"/>
          <w:szCs w:val="32"/>
          <w:lang w:val="en-US" w:eastAsia="zh-CN"/>
        </w:rPr>
        <w:t>3</w:t>
      </w:r>
      <w:r>
        <w:rPr>
          <w:rFonts w:hint="eastAsia" w:ascii="仿宋" w:hAnsi="仿宋" w:eastAsia="仿宋" w:cs="仿宋"/>
          <w:sz w:val="32"/>
          <w:szCs w:val="32"/>
        </w:rPr>
        <w:t>月</w:t>
      </w:r>
      <w:r>
        <w:rPr>
          <w:rFonts w:hint="eastAsia" w:ascii="仿宋" w:hAnsi="仿宋" w:eastAsia="仿宋" w:cs="仿宋"/>
          <w:sz w:val="32"/>
          <w:szCs w:val="32"/>
          <w:lang w:val="en-US" w:eastAsia="zh-CN"/>
        </w:rPr>
        <w:t>6</w:t>
      </w:r>
      <w:r>
        <w:rPr>
          <w:rFonts w:hint="eastAsia" w:ascii="仿宋" w:hAnsi="仿宋" w:eastAsia="仿宋" w:cs="仿宋"/>
          <w:sz w:val="32"/>
          <w:szCs w:val="32"/>
        </w:rPr>
        <w:t>日</w:t>
      </w:r>
    </w:p>
    <w:p>
      <w:pPr>
        <w:spacing w:line="560" w:lineRule="exact"/>
        <w:rPr>
          <w:rFonts w:hint="eastAsia" w:ascii="宋体" w:hAnsi="宋体"/>
          <w:b/>
          <w:bCs/>
          <w:sz w:val="44"/>
        </w:rPr>
      </w:pPr>
    </w:p>
    <w:p>
      <w:pPr>
        <w:jc w:val="center"/>
        <w:rPr>
          <w:rFonts w:hint="eastAsia" w:ascii="宋体" w:hAnsi="宋体"/>
          <w:b/>
          <w:bCs/>
          <w:sz w:val="44"/>
        </w:rPr>
      </w:pPr>
    </w:p>
    <w:p>
      <w:pPr>
        <w:jc w:val="center"/>
        <w:rPr>
          <w:rFonts w:hint="eastAsia" w:ascii="方正小标宋简体" w:hAnsi="宋体" w:eastAsia="方正小标宋简体"/>
          <w:bCs/>
          <w:sz w:val="44"/>
          <w:szCs w:val="44"/>
        </w:rPr>
      </w:pPr>
      <w:r>
        <w:rPr>
          <w:rFonts w:hint="eastAsia" w:ascii="方正小标宋简体" w:hAnsi="宋体" w:eastAsia="方正小标宋简体"/>
          <w:bCs/>
          <w:sz w:val="44"/>
          <w:szCs w:val="44"/>
        </w:rPr>
        <w:t>目    录</w:t>
      </w:r>
    </w:p>
    <w:p>
      <w:pPr>
        <w:spacing w:line="520" w:lineRule="exact"/>
        <w:rPr>
          <w:rFonts w:hint="eastAsia" w:ascii="仿宋_GB2312" w:hAnsi="宋体" w:eastAsia="仿宋_GB2312"/>
          <w:b/>
          <w:bCs/>
          <w:sz w:val="36"/>
          <w:szCs w:val="36"/>
        </w:rPr>
      </w:pPr>
      <w:r>
        <w:rPr>
          <w:rFonts w:hint="eastAsia" w:ascii="仿宋_GB2312" w:hAnsi="宋体" w:eastAsia="仿宋_GB2312"/>
          <w:b/>
          <w:bCs/>
          <w:sz w:val="36"/>
          <w:szCs w:val="36"/>
        </w:rPr>
        <w:t xml:space="preserve">第一部分 </w:t>
      </w:r>
      <w:r>
        <w:rPr>
          <w:rFonts w:hint="eastAsia" w:ascii="仿宋_GB2312" w:hAnsi="宋体" w:eastAsia="仿宋_GB2312"/>
          <w:b/>
          <w:bCs/>
          <w:sz w:val="36"/>
          <w:szCs w:val="36"/>
          <w:lang w:eastAsia="zh-CN"/>
        </w:rPr>
        <w:t>乌拉特后旗应急管理局</w:t>
      </w:r>
      <w:r>
        <w:rPr>
          <w:rFonts w:hint="eastAsia" w:ascii="仿宋_GB2312" w:hAnsi="宋体" w:eastAsia="仿宋_GB2312"/>
          <w:b/>
          <w:bCs/>
          <w:sz w:val="36"/>
          <w:szCs w:val="36"/>
        </w:rPr>
        <w:t>概况</w:t>
      </w:r>
    </w:p>
    <w:p>
      <w:pPr>
        <w:spacing w:line="520" w:lineRule="exact"/>
        <w:ind w:firstLine="640" w:firstLineChars="200"/>
        <w:rPr>
          <w:rFonts w:hint="eastAsia" w:ascii="仿宋_GB2312" w:hAnsi="宋体" w:eastAsia="仿宋_GB2312"/>
          <w:bCs/>
          <w:sz w:val="32"/>
          <w:szCs w:val="32"/>
        </w:rPr>
      </w:pPr>
      <w:r>
        <w:rPr>
          <w:rFonts w:hint="eastAsia" w:ascii="仿宋_GB2312" w:hAnsi="宋体" w:eastAsia="仿宋_GB2312"/>
          <w:bCs/>
          <w:sz w:val="32"/>
          <w:szCs w:val="32"/>
        </w:rPr>
        <w:t>一、主要职能</w:t>
      </w:r>
    </w:p>
    <w:p>
      <w:pPr>
        <w:spacing w:line="520" w:lineRule="exact"/>
        <w:ind w:firstLine="640" w:firstLineChars="200"/>
        <w:rPr>
          <w:rFonts w:hint="eastAsia" w:ascii="仿宋" w:hAnsi="仿宋" w:eastAsia="仿宋" w:cs="仿宋"/>
          <w:color w:val="000000"/>
          <w:sz w:val="32"/>
          <w:szCs w:val="32"/>
        </w:rPr>
      </w:pPr>
      <w:r>
        <w:rPr>
          <w:rFonts w:hint="eastAsia" w:ascii="仿宋_GB2312" w:hAnsi="宋体" w:eastAsia="仿宋_GB2312"/>
          <w:bCs/>
          <w:sz w:val="32"/>
          <w:szCs w:val="32"/>
        </w:rPr>
        <w:t>二、机构设置及部门预算单位构成</w:t>
      </w:r>
    </w:p>
    <w:p>
      <w:pPr>
        <w:spacing w:line="520" w:lineRule="exact"/>
        <w:rPr>
          <w:rFonts w:hint="eastAsia" w:ascii="仿宋" w:hAnsi="仿宋" w:eastAsia="仿宋" w:cs="仿宋"/>
          <w:sz w:val="32"/>
          <w:szCs w:val="32"/>
        </w:rPr>
      </w:pPr>
      <w:r>
        <w:rPr>
          <w:rFonts w:hint="eastAsia" w:ascii="仿宋_GB2312" w:hAnsi="宋体" w:eastAsia="仿宋_GB2312"/>
          <w:b/>
          <w:bCs/>
          <w:sz w:val="36"/>
          <w:szCs w:val="36"/>
        </w:rPr>
        <w:t>第二部分 2021年部门预算安排情况说明</w:t>
      </w:r>
    </w:p>
    <w:p>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一、2021年公共预算收支情况的总体说明</w:t>
      </w:r>
    </w:p>
    <w:p>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二、2021年一般公共预算拨款收支情况说明</w:t>
      </w:r>
    </w:p>
    <w:p>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三、政府性基金预算拨款支出预算的情况说明</w:t>
      </w:r>
    </w:p>
    <w:p>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四、国有资本经营预算拨款支出预算的情况说明</w:t>
      </w:r>
    </w:p>
    <w:p>
      <w:pPr>
        <w:numPr>
          <w:ilvl w:val="0"/>
          <w:numId w:val="1"/>
        </w:numPr>
        <w:spacing w:line="520" w:lineRule="exact"/>
        <w:rPr>
          <w:rFonts w:hint="eastAsia" w:ascii="仿宋" w:hAnsi="仿宋" w:eastAsia="仿宋" w:cs="仿宋"/>
          <w:sz w:val="32"/>
          <w:szCs w:val="32"/>
        </w:rPr>
      </w:pPr>
      <w:r>
        <w:rPr>
          <w:rFonts w:hint="eastAsia" w:ascii="仿宋" w:hAnsi="仿宋" w:eastAsia="仿宋" w:cs="仿宋"/>
          <w:sz w:val="32"/>
          <w:szCs w:val="32"/>
        </w:rPr>
        <w:t>“三公经费”财政拨款支出预算的情况说明</w:t>
      </w:r>
    </w:p>
    <w:p>
      <w:pPr>
        <w:spacing w:line="520" w:lineRule="exact"/>
        <w:rPr>
          <w:rFonts w:hint="eastAsia" w:ascii="仿宋_GB2312" w:hAnsi="宋体" w:eastAsia="仿宋_GB2312"/>
          <w:b/>
          <w:bCs/>
          <w:sz w:val="36"/>
          <w:szCs w:val="36"/>
        </w:rPr>
      </w:pPr>
      <w:r>
        <w:rPr>
          <w:rFonts w:hint="eastAsia" w:ascii="仿宋_GB2312" w:hAnsi="宋体" w:eastAsia="仿宋_GB2312"/>
          <w:b/>
          <w:bCs/>
          <w:sz w:val="36"/>
          <w:szCs w:val="36"/>
        </w:rPr>
        <w:t>第三部分 其他公开事项说明</w:t>
      </w:r>
    </w:p>
    <w:p>
      <w:pPr>
        <w:spacing w:line="520" w:lineRule="exact"/>
        <w:ind w:left="180" w:firstLine="640" w:firstLineChars="200"/>
        <w:rPr>
          <w:rFonts w:hint="eastAsia" w:ascii="仿宋" w:hAnsi="仿宋" w:eastAsia="仿宋" w:cs="仿宋"/>
          <w:sz w:val="32"/>
          <w:szCs w:val="32"/>
        </w:rPr>
      </w:pPr>
      <w:r>
        <w:rPr>
          <w:rFonts w:hint="eastAsia" w:ascii="仿宋" w:hAnsi="仿宋" w:eastAsia="仿宋" w:cs="仿宋"/>
          <w:sz w:val="32"/>
          <w:szCs w:val="32"/>
        </w:rPr>
        <w:t>一、机关运行经费安排情况说明</w:t>
      </w:r>
    </w:p>
    <w:p>
      <w:pPr>
        <w:spacing w:line="520" w:lineRule="exact"/>
        <w:ind w:left="180" w:firstLine="640" w:firstLineChars="200"/>
        <w:rPr>
          <w:rFonts w:hint="eastAsia" w:ascii="仿宋" w:hAnsi="仿宋" w:eastAsia="仿宋" w:cs="仿宋"/>
          <w:sz w:val="32"/>
          <w:szCs w:val="32"/>
        </w:rPr>
      </w:pPr>
      <w:r>
        <w:rPr>
          <w:rFonts w:hint="eastAsia" w:ascii="仿宋" w:hAnsi="仿宋" w:eastAsia="仿宋" w:cs="仿宋"/>
          <w:sz w:val="32"/>
          <w:szCs w:val="32"/>
        </w:rPr>
        <w:t>二、“政府采购计划”预算情况说明</w:t>
      </w:r>
    </w:p>
    <w:p>
      <w:pPr>
        <w:spacing w:line="520" w:lineRule="exact"/>
        <w:ind w:left="180" w:firstLine="640" w:firstLineChars="200"/>
        <w:rPr>
          <w:rFonts w:hint="eastAsia" w:ascii="仿宋" w:hAnsi="仿宋" w:eastAsia="仿宋" w:cs="仿宋"/>
          <w:sz w:val="32"/>
          <w:szCs w:val="32"/>
        </w:rPr>
      </w:pPr>
      <w:r>
        <w:rPr>
          <w:rFonts w:hint="eastAsia" w:ascii="仿宋" w:hAnsi="仿宋" w:eastAsia="仿宋" w:cs="仿宋"/>
          <w:sz w:val="32"/>
          <w:szCs w:val="32"/>
        </w:rPr>
        <w:t>三、国有资产占有使用和增量情况说明</w:t>
      </w:r>
    </w:p>
    <w:p>
      <w:pPr>
        <w:spacing w:line="520" w:lineRule="exact"/>
        <w:ind w:left="180" w:firstLine="640" w:firstLineChars="200"/>
        <w:rPr>
          <w:rFonts w:hint="eastAsia" w:ascii="仿宋" w:hAnsi="仿宋" w:eastAsia="仿宋" w:cs="仿宋"/>
          <w:sz w:val="32"/>
          <w:szCs w:val="32"/>
        </w:rPr>
      </w:pPr>
      <w:r>
        <w:rPr>
          <w:rFonts w:hint="eastAsia" w:ascii="仿宋" w:hAnsi="仿宋" w:eastAsia="仿宋" w:cs="仿宋"/>
          <w:sz w:val="32"/>
          <w:szCs w:val="32"/>
        </w:rPr>
        <w:t>四、绩效目标设置情况说明</w:t>
      </w:r>
    </w:p>
    <w:p>
      <w:pPr>
        <w:spacing w:line="520" w:lineRule="exact"/>
        <w:rPr>
          <w:rFonts w:hint="eastAsia" w:ascii="宋体" w:hAnsi="宋体"/>
          <w:b/>
          <w:bCs/>
          <w:sz w:val="44"/>
        </w:rPr>
      </w:pPr>
      <w:r>
        <w:rPr>
          <w:rFonts w:hint="eastAsia" w:ascii="仿宋_GB2312" w:hAnsi="宋体" w:eastAsia="仿宋_GB2312"/>
          <w:b/>
          <w:bCs/>
          <w:sz w:val="36"/>
          <w:szCs w:val="36"/>
        </w:rPr>
        <w:t>第四部分  名词解释</w:t>
      </w:r>
    </w:p>
    <w:p>
      <w:pPr>
        <w:spacing w:line="520" w:lineRule="exact"/>
        <w:rPr>
          <w:rFonts w:hint="eastAsia" w:ascii="仿宋_GB2312" w:hAnsi="宋体" w:eastAsia="仿宋_GB2312"/>
          <w:b/>
          <w:bCs/>
          <w:sz w:val="36"/>
          <w:szCs w:val="36"/>
        </w:rPr>
      </w:pPr>
      <w:r>
        <w:rPr>
          <w:rFonts w:hint="eastAsia" w:ascii="仿宋_GB2312" w:hAnsi="宋体" w:eastAsia="仿宋_GB2312"/>
          <w:b/>
          <w:bCs/>
          <w:sz w:val="36"/>
          <w:szCs w:val="36"/>
        </w:rPr>
        <w:t>第五部分  2021年部门预算公开表</w:t>
      </w:r>
    </w:p>
    <w:p>
      <w:pPr>
        <w:spacing w:line="520" w:lineRule="exact"/>
        <w:ind w:firstLine="640" w:firstLineChars="200"/>
        <w:rPr>
          <w:rFonts w:hint="eastAsia" w:ascii="仿宋_GB2312" w:hAnsi="宋体" w:eastAsia="仿宋_GB2312"/>
          <w:bCs/>
          <w:sz w:val="32"/>
          <w:szCs w:val="32"/>
        </w:rPr>
      </w:pPr>
    </w:p>
    <w:p>
      <w:pPr>
        <w:spacing w:line="560" w:lineRule="exact"/>
        <w:ind w:firstLine="640" w:firstLineChars="200"/>
        <w:rPr>
          <w:rFonts w:hint="eastAsia" w:ascii="仿宋" w:hAnsi="仿宋" w:eastAsia="仿宋" w:cs="仿宋"/>
          <w:color w:val="000000"/>
          <w:sz w:val="32"/>
          <w:szCs w:val="32"/>
        </w:rPr>
      </w:pPr>
    </w:p>
    <w:p>
      <w:pPr>
        <w:spacing w:line="560" w:lineRule="exact"/>
        <w:rPr>
          <w:rFonts w:hint="eastAsia" w:ascii="宋体" w:hAnsi="宋体"/>
          <w:b/>
          <w:bCs/>
          <w:sz w:val="44"/>
        </w:rPr>
      </w:pPr>
    </w:p>
    <w:p>
      <w:pPr>
        <w:spacing w:line="560" w:lineRule="exact"/>
        <w:jc w:val="center"/>
        <w:rPr>
          <w:rFonts w:hint="eastAsia" w:ascii="宋体" w:hAnsi="宋体"/>
          <w:b/>
          <w:bCs/>
          <w:sz w:val="44"/>
        </w:rPr>
      </w:pPr>
    </w:p>
    <w:p>
      <w:pPr>
        <w:spacing w:line="560" w:lineRule="exact"/>
        <w:jc w:val="center"/>
        <w:rPr>
          <w:rFonts w:hint="eastAsia" w:ascii="宋体" w:hAnsi="宋体"/>
          <w:b/>
          <w:bCs/>
          <w:sz w:val="44"/>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r>
        <w:rPr>
          <w:rFonts w:hint="eastAsia" w:ascii="方正小标宋简体" w:hAnsi="宋体" w:eastAsia="方正小标宋简体"/>
          <w:bCs/>
          <w:sz w:val="36"/>
          <w:szCs w:val="36"/>
        </w:rPr>
        <w:t xml:space="preserve">第一部分  </w:t>
      </w: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r>
        <w:rPr>
          <w:rFonts w:hint="eastAsia" w:ascii="方正小标宋简体" w:hAnsi="宋体" w:eastAsia="方正小标宋简体"/>
          <w:bCs/>
          <w:sz w:val="36"/>
          <w:szCs w:val="36"/>
          <w:lang w:eastAsia="zh-CN"/>
        </w:rPr>
        <w:t>乌拉特后旗应急管理局</w:t>
      </w:r>
      <w:r>
        <w:rPr>
          <w:rFonts w:hint="eastAsia" w:ascii="方正小标宋简体" w:hAnsi="宋体" w:eastAsia="方正小标宋简体"/>
          <w:bCs/>
          <w:sz w:val="36"/>
          <w:szCs w:val="36"/>
        </w:rPr>
        <w:t>概况</w:t>
      </w: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黑体" w:hAnsi="黑体" w:eastAsia="黑体" w:cs="黑体"/>
          <w:bCs/>
          <w:sz w:val="32"/>
          <w:szCs w:val="32"/>
        </w:rPr>
      </w:pPr>
    </w:p>
    <w:p>
      <w:pPr>
        <w:tabs>
          <w:tab w:val="left" w:pos="3532"/>
        </w:tabs>
        <w:autoSpaceDE w:val="0"/>
        <w:autoSpaceDN w:val="0"/>
        <w:adjustRightInd w:val="0"/>
        <w:spacing w:line="56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一、主要职能</w:t>
      </w:r>
    </w:p>
    <w:p>
      <w:pPr>
        <w:snapToGrid w:val="0"/>
        <w:spacing w:line="560" w:lineRule="exact"/>
        <w:ind w:firstLine="64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（一）部门职能</w:t>
      </w:r>
    </w:p>
    <w:p>
      <w:pPr>
        <w:numPr>
          <w:ilvl w:val="0"/>
          <w:numId w:val="0"/>
        </w:numPr>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eastAsia="zh-CN"/>
        </w:rPr>
        <w:t>乌拉特后旗应急管理局</w:t>
      </w:r>
      <w:r>
        <w:rPr>
          <w:rFonts w:hint="eastAsia" w:ascii="仿宋_GB2312" w:hAnsi="仿宋_GB2312" w:eastAsia="仿宋_GB2312" w:cs="仿宋_GB2312"/>
          <w:b w:val="0"/>
          <w:bCs w:val="0"/>
          <w:sz w:val="32"/>
          <w:szCs w:val="32"/>
          <w:lang w:val="en-US" w:eastAsia="zh-CN"/>
        </w:rPr>
        <w:t>是乌拉特后旗人民政府组成部门。</w:t>
      </w:r>
    </w:p>
    <w:p>
      <w:pPr>
        <w:pStyle w:val="5"/>
        <w:spacing w:before="0" w:after="0" w:line="580" w:lineRule="exact"/>
        <w:ind w:right="0" w:firstLine="643" w:firstLineChars="200"/>
        <w:jc w:val="both"/>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sz w:val="32"/>
          <w:szCs w:val="32"/>
        </w:rPr>
        <w:t>（二）</w:t>
      </w:r>
      <w:r>
        <w:rPr>
          <w:rFonts w:hint="eastAsia" w:ascii="仿宋_GB2312" w:hAnsi="仿宋_GB2312" w:eastAsia="仿宋_GB2312" w:cs="仿宋_GB2312"/>
          <w:b/>
          <w:sz w:val="32"/>
          <w:szCs w:val="32"/>
          <w:lang w:val="en-US" w:eastAsia="zh-CN"/>
        </w:rPr>
        <w:t>乌拉特后旗应急管理局</w:t>
      </w:r>
      <w:r>
        <w:rPr>
          <w:rFonts w:hint="eastAsia" w:ascii="仿宋_GB2312" w:hAnsi="仿宋_GB2312" w:eastAsia="仿宋_GB2312" w:cs="仿宋_GB2312"/>
          <w:b/>
          <w:sz w:val="32"/>
          <w:szCs w:val="32"/>
        </w:rPr>
        <w:t>的主要职责</w:t>
      </w:r>
    </w:p>
    <w:p>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sz w:val="32"/>
          <w:szCs w:val="32"/>
          <w:lang w:val="en-US" w:eastAsia="zh-CN"/>
        </w:rPr>
        <w:t>乌拉特后旗应急管理局</w:t>
      </w:r>
      <w:r>
        <w:rPr>
          <w:rFonts w:hint="eastAsia" w:ascii="仿宋_GB2312" w:hAnsi="仿宋_GB2312" w:eastAsia="仿宋_GB2312" w:cs="仿宋_GB2312"/>
          <w:b w:val="0"/>
          <w:bCs w:val="0"/>
          <w:sz w:val="32"/>
          <w:szCs w:val="32"/>
          <w:lang w:eastAsia="zh-CN"/>
        </w:rPr>
        <w:t>于</w:t>
      </w:r>
      <w:r>
        <w:rPr>
          <w:rFonts w:hint="eastAsia" w:ascii="仿宋_GB2312" w:hAnsi="仿宋_GB2312" w:eastAsia="仿宋_GB2312" w:cs="仿宋_GB2312"/>
          <w:b w:val="0"/>
          <w:bCs w:val="0"/>
          <w:sz w:val="32"/>
          <w:szCs w:val="32"/>
          <w:lang w:val="en-US" w:eastAsia="zh-CN"/>
        </w:rPr>
        <w:t>2019年3月20日挂牌，</w:t>
      </w:r>
      <w:r>
        <w:rPr>
          <w:rFonts w:hint="eastAsia" w:ascii="仿宋_GB2312" w:hAnsi="仿宋_GB2312" w:eastAsia="仿宋_GB2312" w:cs="仿宋_GB2312"/>
          <w:sz w:val="32"/>
          <w:szCs w:val="32"/>
          <w:lang w:val="en-US" w:eastAsia="zh-CN"/>
        </w:rPr>
        <w:t>共有6个股室（原安监局），分别为办公室、法规股、矿山股、危化股、应急救援股、综合股、综合减灾股、下设5个基层安监站，分别为巴音站、呼和站、潮格站、获各琦站、巴音前达门站。</w:t>
      </w:r>
    </w:p>
    <w:p>
      <w:pPr>
        <w:numPr>
          <w:ilvl w:val="0"/>
          <w:numId w:val="0"/>
        </w:numPr>
        <w:ind w:firstLine="640" w:firstLineChars="2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乌拉特后旗应急管理局贯彻落实党中央关于应急管理工作的方针政策和自治区党委、市委、旗委相关决策部署，在履行职责过程中坚持和加强党对应急管理工作的集中统一领导。主要职责是</w:t>
      </w:r>
      <w:r>
        <w:rPr>
          <w:rFonts w:hint="eastAsia" w:ascii="仿宋_GB2312" w:hAnsi="仿宋_GB2312" w:eastAsia="仿宋_GB2312" w:cs="仿宋_GB2312"/>
          <w:sz w:val="32"/>
          <w:szCs w:val="32"/>
          <w:lang w:val="en-US" w:eastAsia="zh-CN"/>
        </w:rPr>
        <w:t>：</w:t>
      </w:r>
    </w:p>
    <w:p>
      <w:pPr>
        <w:numPr>
          <w:ilvl w:val="0"/>
          <w:numId w:val="0"/>
        </w:numPr>
        <w:ind w:firstLine="640" w:firstLineChars="2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(一)负责全旗应急管理工作，指导旗直各部门、各苏木镇应对安全生产类、自然灾害类等突发事件和综合防灾减灾救灾工作。负责安全生产综合监督管理工作，负责有关工矿商贸行业安全生产监督管理工作。</w:t>
      </w:r>
    </w:p>
    <w:p>
      <w:pPr>
        <w:numPr>
          <w:ilvl w:val="0"/>
          <w:numId w:val="0"/>
        </w:num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w:t>
      </w:r>
      <w:r>
        <w:rPr>
          <w:rFonts w:hint="default" w:ascii="仿宋_GB2312" w:hAnsi="仿宋_GB2312" w:eastAsia="仿宋_GB2312" w:cs="仿宋_GB2312"/>
          <w:sz w:val="32"/>
          <w:szCs w:val="32"/>
          <w:lang w:val="en-US" w:eastAsia="zh-CN"/>
        </w:rPr>
        <w:t>)组织编制全旗应急体系建</w:t>
      </w:r>
      <w:r>
        <w:rPr>
          <w:rFonts w:hint="eastAsia" w:ascii="仿宋_GB2312" w:hAnsi="仿宋_GB2312" w:eastAsia="仿宋_GB2312" w:cs="仿宋_GB2312"/>
          <w:sz w:val="32"/>
          <w:szCs w:val="32"/>
          <w:lang w:val="en-US" w:eastAsia="zh-CN"/>
        </w:rPr>
        <w:t>设</w:t>
      </w:r>
      <w:r>
        <w:rPr>
          <w:rFonts w:hint="default" w:ascii="仿宋_GB2312" w:hAnsi="仿宋_GB2312" w:eastAsia="仿宋_GB2312" w:cs="仿宋_GB2312"/>
          <w:sz w:val="32"/>
          <w:szCs w:val="32"/>
          <w:lang w:val="en-US" w:eastAsia="zh-CN"/>
        </w:rPr>
        <w:t>、安全生产和综合防减灾规划。参与拟定有关政策措施，</w:t>
      </w:r>
      <w:r>
        <w:rPr>
          <w:rFonts w:hint="eastAsia" w:ascii="仿宋_GB2312" w:hAnsi="仿宋_GB2312" w:eastAsia="仿宋_GB2312" w:cs="仿宋_GB2312"/>
          <w:sz w:val="32"/>
          <w:szCs w:val="32"/>
          <w:lang w:val="en-US" w:eastAsia="zh-CN"/>
        </w:rPr>
        <w:t>贯彻落实规程和</w:t>
      </w:r>
      <w:r>
        <w:rPr>
          <w:rFonts w:hint="default" w:ascii="仿宋_GB2312" w:hAnsi="仿宋_GB2312" w:eastAsia="仿宋_GB2312" w:cs="仿宋_GB2312"/>
          <w:sz w:val="32"/>
          <w:szCs w:val="32"/>
          <w:lang w:val="en-US" w:eastAsia="zh-CN"/>
        </w:rPr>
        <w:t>和标准并监督实施</w:t>
      </w:r>
      <w:r>
        <w:rPr>
          <w:rFonts w:hint="eastAsia" w:ascii="仿宋_GB2312" w:hAnsi="仿宋_GB2312" w:eastAsia="仿宋_GB2312" w:cs="仿宋_GB2312"/>
          <w:sz w:val="32"/>
          <w:szCs w:val="32"/>
          <w:lang w:val="en-US" w:eastAsia="zh-CN"/>
        </w:rPr>
        <w:t>。</w:t>
      </w:r>
    </w:p>
    <w:p>
      <w:pPr>
        <w:numPr>
          <w:ilvl w:val="0"/>
          <w:numId w:val="0"/>
        </w:numPr>
        <w:ind w:firstLine="640" w:firstLineChars="2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(三)指导全旗应急预案体系建设，贯彻落实国家事故灾难和自然灾害分级应对制度，组织编制全旗总体应急预案和安全生产类、自然灾害类专项预案，综合协调应急预案</w:t>
      </w:r>
      <w:r>
        <w:rPr>
          <w:rFonts w:hint="eastAsia" w:ascii="仿宋_GB2312" w:hAnsi="仿宋_GB2312" w:eastAsia="仿宋_GB2312" w:cs="仿宋_GB2312"/>
          <w:sz w:val="32"/>
          <w:szCs w:val="32"/>
          <w:lang w:val="en-US" w:eastAsia="zh-CN"/>
        </w:rPr>
        <w:t>衔</w:t>
      </w:r>
      <w:r>
        <w:rPr>
          <w:rFonts w:hint="default" w:ascii="仿宋_GB2312" w:hAnsi="仿宋_GB2312" w:eastAsia="仿宋_GB2312" w:cs="仿宋_GB2312"/>
          <w:sz w:val="32"/>
          <w:szCs w:val="32"/>
          <w:lang w:val="en-US" w:eastAsia="zh-CN"/>
        </w:rPr>
        <w:t>接工作，组织开展相关预案演练，推动全旗应急避难设施建设。</w:t>
      </w:r>
    </w:p>
    <w:p>
      <w:pPr>
        <w:numPr>
          <w:ilvl w:val="0"/>
          <w:numId w:val="0"/>
        </w:numPr>
        <w:ind w:firstLine="640" w:firstLineChars="2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(四)按照统一部署，头建立全旗应急管理信息系统，建立监测预警和灾情报告制度，健全自然灾害信息资源获取和共享机制，依法发布灾情及应急救援情况。</w:t>
      </w:r>
    </w:p>
    <w:p>
      <w:pPr>
        <w:numPr>
          <w:ilvl w:val="0"/>
          <w:numId w:val="0"/>
        </w:numPr>
        <w:ind w:firstLine="640" w:firstLineChars="2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五)组织指导协调全旗安全生产类、自然灾害类等突发事件应急救援，承担全旗应对灾害指挥部工作，综合研判突发事件发展态势并提出应对建议，协助国家、自治区、市和旗指定的负责同志组织灾害应急处置工作</w:t>
      </w:r>
      <w:r>
        <w:rPr>
          <w:rFonts w:hint="eastAsia" w:ascii="仿宋_GB2312" w:hAnsi="仿宋_GB2312" w:eastAsia="仿宋_GB2312" w:cs="仿宋_GB2312"/>
          <w:sz w:val="32"/>
          <w:szCs w:val="32"/>
          <w:lang w:val="en-US" w:eastAsia="zh-CN"/>
        </w:rPr>
        <w:t>。</w:t>
      </w:r>
    </w:p>
    <w:p>
      <w:pPr>
        <w:numPr>
          <w:ilvl w:val="0"/>
          <w:numId w:val="0"/>
        </w:numPr>
        <w:ind w:firstLine="640" w:firstLineChars="2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(六)统一协调指挥全旗各类应急专业队伍，建立全旗应急协调联动</w:t>
      </w:r>
      <w:r>
        <w:rPr>
          <w:rFonts w:hint="eastAsia" w:ascii="仿宋_GB2312" w:hAnsi="仿宋_GB2312" w:eastAsia="仿宋_GB2312" w:cs="仿宋_GB2312"/>
          <w:sz w:val="32"/>
          <w:szCs w:val="32"/>
          <w:lang w:val="en-US" w:eastAsia="zh-CN"/>
        </w:rPr>
        <w:t>机制，推进指挥平台对</w:t>
      </w:r>
      <w:r>
        <w:rPr>
          <w:rFonts w:hint="default" w:ascii="仿宋_GB2312" w:hAnsi="仿宋_GB2312" w:eastAsia="仿宋_GB2312" w:cs="仿宋_GB2312"/>
          <w:sz w:val="32"/>
          <w:szCs w:val="32"/>
          <w:lang w:val="en-US" w:eastAsia="zh-CN"/>
        </w:rPr>
        <w:t>接，统筹指导全旗应急救援力量建设。按职责权限组织协调指导消防、森林和草原火灾扑救、抗洪抢</w:t>
      </w:r>
      <w:r>
        <w:rPr>
          <w:rFonts w:hint="eastAsia" w:ascii="仿宋_GB2312" w:hAnsi="仿宋_GB2312" w:eastAsia="仿宋_GB2312" w:cs="仿宋_GB2312"/>
          <w:sz w:val="32"/>
          <w:szCs w:val="32"/>
          <w:lang w:val="en-US" w:eastAsia="zh-CN"/>
        </w:rPr>
        <w:t>险，地震和地质灾害救援、生产安全事故救援等专业应急</w:t>
      </w:r>
      <w:r>
        <w:rPr>
          <w:rFonts w:hint="default" w:ascii="仿宋_GB2312" w:hAnsi="仿宋_GB2312" w:eastAsia="仿宋_GB2312" w:cs="仿宋_GB2312"/>
          <w:sz w:val="32"/>
          <w:szCs w:val="32"/>
          <w:lang w:val="en-US" w:eastAsia="zh-CN"/>
        </w:rPr>
        <w:t>救援力量建设，组织推动各苏木镇及社会应急救援力量建设。</w:t>
      </w:r>
    </w:p>
    <w:p>
      <w:pPr>
        <w:numPr>
          <w:ilvl w:val="0"/>
          <w:numId w:val="0"/>
        </w:numPr>
        <w:ind w:firstLine="640" w:firstLineChars="2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(七)按权限协调全旗消防监督、火灾预防、火灾扑救等工作。</w:t>
      </w:r>
    </w:p>
    <w:p>
      <w:pPr>
        <w:numPr>
          <w:ilvl w:val="0"/>
          <w:numId w:val="0"/>
        </w:numPr>
        <w:ind w:firstLine="640" w:firstLineChars="2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(八)协调指导全旗森林和草原火灾、水旱灾害、地震和地质灾害等防治</w:t>
      </w:r>
      <w:r>
        <w:rPr>
          <w:rFonts w:hint="eastAsia" w:ascii="仿宋_GB2312" w:hAnsi="仿宋_GB2312" w:eastAsia="仿宋_GB2312" w:cs="仿宋_GB2312"/>
          <w:sz w:val="32"/>
          <w:szCs w:val="32"/>
          <w:lang w:val="en-US" w:eastAsia="zh-CN"/>
        </w:rPr>
        <w:t>工作，负责</w:t>
      </w:r>
      <w:r>
        <w:rPr>
          <w:rFonts w:hint="default" w:ascii="仿宋_GB2312" w:hAnsi="仿宋_GB2312" w:eastAsia="仿宋_GB2312" w:cs="仿宋_GB2312"/>
          <w:sz w:val="32"/>
          <w:szCs w:val="32"/>
          <w:lang w:val="en-US" w:eastAsia="zh-CN"/>
        </w:rPr>
        <w:t>全旗自然灾害</w:t>
      </w:r>
      <w:r>
        <w:rPr>
          <w:rFonts w:hint="eastAsia" w:ascii="仿宋_GB2312" w:hAnsi="仿宋_GB2312" w:eastAsia="仿宋_GB2312" w:cs="仿宋_GB2312"/>
          <w:sz w:val="32"/>
          <w:szCs w:val="32"/>
          <w:lang w:val="en-US" w:eastAsia="zh-CN"/>
        </w:rPr>
        <w:t>综合监测预警，组织指导全旗自然灾害综合风险评估工作。</w:t>
      </w:r>
    </w:p>
    <w:p>
      <w:pPr>
        <w:numPr>
          <w:ilvl w:val="0"/>
          <w:numId w:val="0"/>
        </w:numPr>
        <w:ind w:firstLine="640" w:firstLineChars="2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(九)组织协调害救助</w:t>
      </w:r>
      <w:r>
        <w:rPr>
          <w:rFonts w:hint="eastAsia" w:ascii="仿宋_GB2312" w:hAnsi="仿宋_GB2312" w:eastAsia="仿宋_GB2312" w:cs="仿宋_GB2312"/>
          <w:sz w:val="32"/>
          <w:szCs w:val="32"/>
          <w:lang w:val="en-US" w:eastAsia="zh-CN"/>
        </w:rPr>
        <w:t>工</w:t>
      </w:r>
      <w:r>
        <w:rPr>
          <w:rFonts w:hint="default" w:ascii="仿宋_GB2312" w:hAnsi="仿宋_GB2312" w:eastAsia="仿宋_GB2312" w:cs="仿宋_GB2312"/>
          <w:sz w:val="32"/>
          <w:szCs w:val="32"/>
          <w:lang w:val="en-US" w:eastAsia="zh-CN"/>
        </w:rPr>
        <w:t>作，组织指导灾情核査上报、损失评估、救灾捐</w:t>
      </w:r>
      <w:r>
        <w:rPr>
          <w:rFonts w:hint="eastAsia" w:ascii="仿宋_GB2312" w:hAnsi="仿宋_GB2312" w:eastAsia="仿宋_GB2312" w:cs="仿宋_GB2312"/>
          <w:sz w:val="32"/>
          <w:szCs w:val="32"/>
          <w:lang w:val="en-US" w:eastAsia="zh-CN"/>
        </w:rPr>
        <w:t>赠</w:t>
      </w:r>
      <w:r>
        <w:rPr>
          <w:rFonts w:hint="default" w:ascii="仿宋_GB2312" w:hAnsi="仿宋_GB2312" w:eastAsia="仿宋_GB2312" w:cs="仿宋_GB2312"/>
          <w:sz w:val="32"/>
          <w:szCs w:val="32"/>
          <w:lang w:val="en-US" w:eastAsia="zh-CN"/>
        </w:rPr>
        <w:t>工作</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管理</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分配中央、自治区、市和旗救灾款物并监督使用</w:t>
      </w:r>
      <w:r>
        <w:rPr>
          <w:rFonts w:hint="eastAsia" w:ascii="仿宋_GB2312" w:hAnsi="仿宋_GB2312" w:eastAsia="仿宋_GB2312" w:cs="仿宋_GB2312"/>
          <w:sz w:val="32"/>
          <w:szCs w:val="32"/>
          <w:lang w:val="en-US" w:eastAsia="zh-CN"/>
        </w:rPr>
        <w:t>。</w:t>
      </w:r>
    </w:p>
    <w:p>
      <w:pPr>
        <w:numPr>
          <w:ilvl w:val="0"/>
          <w:numId w:val="0"/>
        </w:num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w:t>
      </w:r>
      <w:r>
        <w:rPr>
          <w:rFonts w:hint="default" w:ascii="仿宋_GB2312" w:hAnsi="仿宋_GB2312" w:eastAsia="仿宋_GB2312" w:cs="仿宋_GB2312"/>
          <w:sz w:val="32"/>
          <w:szCs w:val="32"/>
          <w:lang w:val="en-US" w:eastAsia="zh-CN"/>
        </w:rPr>
        <w:t>)依法行使全旗安全生产综合监督管理职权，指导协调、督査我旗有关部门和各苏木镇安全生产工作，参与开展安全生</w:t>
      </w:r>
      <w:r>
        <w:rPr>
          <w:rFonts w:hint="eastAsia" w:ascii="仿宋_GB2312" w:hAnsi="仿宋_GB2312" w:eastAsia="仿宋_GB2312" w:cs="仿宋_GB2312"/>
          <w:sz w:val="32"/>
          <w:szCs w:val="32"/>
          <w:lang w:val="en-US" w:eastAsia="zh-CN"/>
        </w:rPr>
        <w:t>产</w:t>
      </w:r>
      <w:r>
        <w:rPr>
          <w:rFonts w:hint="default" w:ascii="仿宋_GB2312" w:hAnsi="仿宋_GB2312" w:eastAsia="仿宋_GB2312" w:cs="仿宋_GB2312"/>
          <w:sz w:val="32"/>
          <w:szCs w:val="32"/>
          <w:lang w:val="en-US" w:eastAsia="zh-CN"/>
        </w:rPr>
        <w:t>考核工作</w:t>
      </w:r>
      <w:r>
        <w:rPr>
          <w:rFonts w:hint="eastAsia" w:ascii="仿宋_GB2312" w:hAnsi="仿宋_GB2312" w:eastAsia="仿宋_GB2312" w:cs="仿宋_GB2312"/>
          <w:sz w:val="32"/>
          <w:szCs w:val="32"/>
          <w:lang w:val="en-US" w:eastAsia="zh-CN"/>
        </w:rPr>
        <w:t>。</w:t>
      </w:r>
    </w:p>
    <w:p>
      <w:pPr>
        <w:numPr>
          <w:ilvl w:val="0"/>
          <w:numId w:val="0"/>
        </w:num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（十一）</w:t>
      </w:r>
      <w:r>
        <w:rPr>
          <w:rFonts w:hint="default" w:ascii="仿宋_GB2312" w:hAnsi="仿宋_GB2312" w:eastAsia="仿宋_GB2312" w:cs="仿宋_GB2312"/>
          <w:sz w:val="32"/>
          <w:szCs w:val="32"/>
          <w:lang w:val="en-US" w:eastAsia="zh-CN"/>
        </w:rPr>
        <w:t>按照属地管理原则，依法监督检查工矿商贸生产经营单位贯彻执行安全生产法律法规情况。依法组织并指导监督实施安全生产准入制度。负责全旗危险化学品安全生产监督管理综合工作和烟花爆竹安全生产监督管理工作。</w:t>
      </w:r>
    </w:p>
    <w:p>
      <w:pPr>
        <w:numPr>
          <w:ilvl w:val="0"/>
          <w:numId w:val="0"/>
        </w:numPr>
        <w:ind w:firstLine="640" w:firstLineChars="200"/>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(十</w:t>
      </w:r>
      <w:r>
        <w:rPr>
          <w:rFonts w:hint="eastAsia" w:ascii="仿宋_GB2312" w:hAnsi="仿宋_GB2312" w:eastAsia="仿宋_GB2312" w:cs="仿宋_GB2312"/>
          <w:sz w:val="32"/>
          <w:szCs w:val="32"/>
          <w:lang w:val="en-US" w:eastAsia="zh-CN"/>
        </w:rPr>
        <w:t>二</w:t>
      </w:r>
      <w:r>
        <w:rPr>
          <w:rFonts w:hint="default" w:ascii="仿宋_GB2312" w:hAnsi="仿宋_GB2312" w:eastAsia="仿宋_GB2312" w:cs="仿宋_GB2312"/>
          <w:sz w:val="32"/>
          <w:szCs w:val="32"/>
          <w:lang w:val="en-US" w:eastAsia="zh-CN"/>
        </w:rPr>
        <w:t>)依法参与生产安全事故调查处理，监督事故查处和责任追究落实情况。组织开展自然灾害类突发事件的调查评估</w:t>
      </w:r>
      <w:r>
        <w:rPr>
          <w:rFonts w:hint="eastAsia" w:ascii="仿宋_GB2312" w:hAnsi="仿宋_GB2312" w:eastAsia="仿宋_GB2312" w:cs="仿宋_GB2312"/>
          <w:sz w:val="32"/>
          <w:szCs w:val="32"/>
          <w:lang w:val="en-US" w:eastAsia="zh-CN"/>
        </w:rPr>
        <w:t>工作。</w:t>
      </w:r>
    </w:p>
    <w:p>
      <w:pPr>
        <w:numPr>
          <w:ilvl w:val="0"/>
          <w:numId w:val="0"/>
        </w:numPr>
        <w:ind w:firstLine="640" w:firstLineChars="200"/>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十</w:t>
      </w:r>
      <w:r>
        <w:rPr>
          <w:rFonts w:hint="default" w:ascii="仿宋_GB2312" w:hAnsi="仿宋_GB2312" w:eastAsia="仿宋_GB2312" w:cs="仿宋_GB2312"/>
          <w:sz w:val="32"/>
          <w:szCs w:val="32"/>
          <w:lang w:val="en-US" w:eastAsia="zh-CN"/>
        </w:rPr>
        <w:t>三)制定全旗应急物资储备和应急救援装备规划并组织实施，会同旗粮食和物资储备等部门建立健全应急物资信息平合和调拨制度，在救灾时统一调度</w:t>
      </w:r>
      <w:r>
        <w:rPr>
          <w:rFonts w:hint="eastAsia" w:ascii="仿宋_GB2312" w:hAnsi="仿宋_GB2312" w:eastAsia="仿宋_GB2312" w:cs="仿宋_GB2312"/>
          <w:sz w:val="32"/>
          <w:szCs w:val="32"/>
          <w:lang w:val="en-US" w:eastAsia="zh-CN"/>
        </w:rPr>
        <w:t>。</w:t>
      </w:r>
    </w:p>
    <w:p>
      <w:pPr>
        <w:numPr>
          <w:ilvl w:val="0"/>
          <w:numId w:val="0"/>
        </w:num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（十四）负</w:t>
      </w:r>
      <w:r>
        <w:rPr>
          <w:rFonts w:hint="default" w:ascii="仿宋_GB2312" w:hAnsi="仿宋_GB2312" w:eastAsia="仿宋_GB2312" w:cs="仿宋_GB2312"/>
          <w:sz w:val="32"/>
          <w:szCs w:val="32"/>
          <w:lang w:val="en-US" w:eastAsia="zh-CN"/>
        </w:rPr>
        <w:t>责全旗应急管理</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安全生产宣传教育和培训工作，组织指导应急管理、安全生产的科学技术研究、推广应用和</w:t>
      </w:r>
      <w:r>
        <w:rPr>
          <w:rFonts w:hint="eastAsia" w:ascii="仿宋_GB2312" w:hAnsi="仿宋_GB2312" w:eastAsia="仿宋_GB2312" w:cs="仿宋_GB2312"/>
          <w:sz w:val="32"/>
          <w:szCs w:val="32"/>
          <w:lang w:val="en-US" w:eastAsia="zh-CN"/>
        </w:rPr>
        <w:t>信息化建设工作。</w:t>
      </w:r>
    </w:p>
    <w:p>
      <w:pPr>
        <w:numPr>
          <w:ilvl w:val="0"/>
          <w:numId w:val="0"/>
        </w:numPr>
        <w:ind w:firstLine="640" w:firstLineChars="2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(十五)完成旗委、政府交办的其他任务。</w:t>
      </w:r>
    </w:p>
    <w:p>
      <w:pPr>
        <w:tabs>
          <w:tab w:val="left" w:pos="3532"/>
        </w:tabs>
        <w:autoSpaceDE w:val="0"/>
        <w:autoSpaceDN w:val="0"/>
        <w:adjustRightInd w:val="0"/>
        <w:spacing w:line="56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二、</w:t>
      </w:r>
      <w:r>
        <w:rPr>
          <w:rFonts w:hint="eastAsia" w:ascii="黑体" w:hAnsi="黑体" w:eastAsia="黑体"/>
          <w:bCs/>
          <w:sz w:val="32"/>
          <w:szCs w:val="32"/>
        </w:rPr>
        <w:t>机构设置及部门预算单位构成</w:t>
      </w:r>
    </w:p>
    <w:p>
      <w:pPr>
        <w:tabs>
          <w:tab w:val="left" w:pos="3532"/>
        </w:tabs>
        <w:autoSpaceDE w:val="0"/>
        <w:autoSpaceDN w:val="0"/>
        <w:adjustRightInd w:val="0"/>
        <w:spacing w:line="560" w:lineRule="exact"/>
        <w:ind w:firstLine="640" w:firstLineChars="200"/>
        <w:rPr>
          <w:rFonts w:hint="eastAsia" w:ascii="方正小标宋简体" w:hAnsi="宋体" w:eastAsia="方正小标宋简体"/>
          <w:bCs/>
          <w:sz w:val="36"/>
          <w:szCs w:val="36"/>
        </w:rPr>
      </w:pPr>
      <w:r>
        <w:rPr>
          <w:rFonts w:hint="eastAsia" w:ascii="仿宋_GB2312" w:hAnsi="宋体" w:eastAsia="仿宋_GB2312"/>
          <w:bCs/>
          <w:sz w:val="32"/>
          <w:szCs w:val="32"/>
        </w:rPr>
        <w:t>从预算单位构成看，</w:t>
      </w:r>
      <w:r>
        <w:rPr>
          <w:rFonts w:hint="eastAsia" w:ascii="仿宋_GB2312" w:hAnsi="宋体" w:eastAsia="仿宋_GB2312"/>
          <w:bCs/>
          <w:sz w:val="32"/>
          <w:szCs w:val="32"/>
          <w:lang w:eastAsia="zh-CN"/>
        </w:rPr>
        <w:t>乌拉特后旗应急管理局</w:t>
      </w:r>
      <w:r>
        <w:rPr>
          <w:rFonts w:hint="eastAsia" w:ascii="仿宋_GB2312" w:hAnsi="宋体" w:eastAsia="仿宋_GB2312"/>
          <w:bCs/>
          <w:sz w:val="32"/>
          <w:szCs w:val="32"/>
        </w:rPr>
        <w:t>部门预算包括：</w:t>
      </w:r>
      <w:r>
        <w:rPr>
          <w:rFonts w:hint="eastAsia" w:ascii="仿宋" w:hAnsi="仿宋" w:eastAsia="仿宋" w:cs="仿宋"/>
          <w:sz w:val="32"/>
          <w:szCs w:val="32"/>
          <w:lang w:eastAsia="zh-CN"/>
        </w:rPr>
        <w:t>乌拉特后旗应急管理局</w:t>
      </w:r>
      <w:r>
        <w:rPr>
          <w:rFonts w:hint="eastAsia" w:ascii="仿宋_GB2312" w:hAnsi="宋体" w:eastAsia="仿宋_GB2312"/>
          <w:bCs/>
          <w:sz w:val="32"/>
          <w:szCs w:val="32"/>
        </w:rPr>
        <w:t>本级预算和</w:t>
      </w:r>
      <w:r>
        <w:rPr>
          <w:rFonts w:hint="eastAsia" w:ascii="仿宋" w:hAnsi="仿宋" w:eastAsia="仿宋" w:cs="仿宋"/>
          <w:color w:val="auto"/>
          <w:sz w:val="32"/>
          <w:szCs w:val="32"/>
          <w:lang w:eastAsia="zh-CN"/>
        </w:rPr>
        <w:t>乌拉特后旗地震观测站二级单位预算</w:t>
      </w:r>
      <w:r>
        <w:rPr>
          <w:rFonts w:hint="eastAsia" w:ascii="仿宋_GB2312" w:hAnsi="宋体" w:eastAsia="仿宋_GB2312"/>
          <w:bCs/>
          <w:sz w:val="32"/>
          <w:szCs w:val="32"/>
        </w:rPr>
        <w:t>。</w:t>
      </w:r>
    </w:p>
    <w:p>
      <w:pPr>
        <w:widowControl/>
        <w:spacing w:line="580" w:lineRule="exact"/>
        <w:ind w:firstLine="643" w:firstLineChars="200"/>
        <w:jc w:val="left"/>
        <w:rPr>
          <w:rFonts w:hint="eastAsia" w:ascii="仿宋_GB2312" w:hAnsi="宋体" w:eastAsia="仿宋_GB2312" w:cs="宋体"/>
          <w:b/>
          <w:kern w:val="0"/>
          <w:sz w:val="32"/>
          <w:szCs w:val="32"/>
        </w:rPr>
      </w:pPr>
      <w:r>
        <w:rPr>
          <w:rFonts w:hint="eastAsia" w:ascii="楷体_GB2312" w:hAnsi="宋体" w:eastAsia="楷体_GB2312" w:cs="宋体"/>
          <w:b/>
          <w:kern w:val="0"/>
          <w:sz w:val="32"/>
          <w:szCs w:val="32"/>
        </w:rPr>
        <w:t>（一）</w:t>
      </w:r>
      <w:r>
        <w:rPr>
          <w:rFonts w:hint="eastAsia" w:ascii="楷体_GB2312" w:hAnsi="宋体" w:eastAsia="楷体_GB2312" w:cs="宋体"/>
          <w:b/>
          <w:kern w:val="0"/>
          <w:sz w:val="32"/>
          <w:szCs w:val="32"/>
          <w:lang w:eastAsia="zh-CN"/>
        </w:rPr>
        <w:t>乌拉特后旗应急管理局</w:t>
      </w:r>
      <w:r>
        <w:rPr>
          <w:rFonts w:hint="eastAsia" w:ascii="楷体_GB2312" w:hAnsi="宋体" w:eastAsia="楷体_GB2312" w:cs="宋体"/>
          <w:b/>
          <w:kern w:val="0"/>
          <w:sz w:val="32"/>
          <w:szCs w:val="32"/>
        </w:rPr>
        <w:t>部门机构</w:t>
      </w:r>
    </w:p>
    <w:p>
      <w:pPr>
        <w:widowControl/>
        <w:spacing w:line="580" w:lineRule="exact"/>
        <w:ind w:firstLine="624" w:firstLineChars="195"/>
        <w:rPr>
          <w:rFonts w:hint="eastAsia" w:ascii="仿宋_GB2312" w:hAnsi="宋体" w:eastAsia="仿宋_GB2312" w:cs="宋体"/>
          <w:kern w:val="0"/>
          <w:sz w:val="32"/>
          <w:szCs w:val="32"/>
        </w:rPr>
      </w:pPr>
      <w:r>
        <w:rPr>
          <w:rFonts w:hint="eastAsia" w:ascii="仿宋_GB2312" w:hAnsi="宋体" w:eastAsia="仿宋_GB2312" w:cs="宋体"/>
          <w:kern w:val="0"/>
          <w:sz w:val="32"/>
          <w:szCs w:val="32"/>
        </w:rPr>
        <w:t>2021年，</w:t>
      </w:r>
      <w:r>
        <w:rPr>
          <w:rFonts w:hint="eastAsia" w:ascii="仿宋_GB2312" w:hAnsi="宋体" w:eastAsia="仿宋_GB2312" w:cs="宋体"/>
          <w:kern w:val="0"/>
          <w:sz w:val="32"/>
          <w:szCs w:val="32"/>
          <w:lang w:eastAsia="zh-CN"/>
        </w:rPr>
        <w:t>乌拉特后旗应急管理局</w:t>
      </w:r>
      <w:r>
        <w:rPr>
          <w:rFonts w:hint="eastAsia" w:ascii="仿宋_GB2312" w:hAnsi="宋体" w:eastAsia="仿宋_GB2312" w:cs="宋体"/>
          <w:kern w:val="0"/>
          <w:sz w:val="32"/>
          <w:szCs w:val="32"/>
        </w:rPr>
        <w:t>共有机构数是</w:t>
      </w:r>
      <w:r>
        <w:rPr>
          <w:rFonts w:hint="eastAsia" w:ascii="仿宋_GB2312" w:hAnsi="宋体" w:eastAsia="仿宋_GB2312" w:cs="宋体"/>
          <w:kern w:val="0"/>
          <w:sz w:val="32"/>
          <w:szCs w:val="32"/>
          <w:lang w:val="en-US" w:eastAsia="zh-CN"/>
        </w:rPr>
        <w:t>2</w:t>
      </w:r>
      <w:r>
        <w:rPr>
          <w:rFonts w:hint="eastAsia" w:ascii="仿宋_GB2312" w:hAnsi="宋体" w:eastAsia="仿宋_GB2312" w:cs="宋体"/>
          <w:kern w:val="0"/>
          <w:sz w:val="32"/>
          <w:szCs w:val="32"/>
        </w:rPr>
        <w:t>家，其中财政拨款的行政单位1家，参照公务员法管理的事业单位为</w:t>
      </w:r>
      <w:r>
        <w:rPr>
          <w:rFonts w:hint="eastAsia" w:ascii="仿宋_GB2312" w:hAnsi="宋体" w:eastAsia="仿宋_GB2312" w:cs="宋体"/>
          <w:kern w:val="0"/>
          <w:sz w:val="32"/>
          <w:szCs w:val="32"/>
          <w:lang w:val="en-US" w:eastAsia="zh-CN"/>
        </w:rPr>
        <w:t>0</w:t>
      </w:r>
      <w:r>
        <w:rPr>
          <w:rFonts w:hint="eastAsia" w:ascii="仿宋_GB2312" w:hAnsi="宋体" w:eastAsia="仿宋_GB2312" w:cs="宋体"/>
          <w:kern w:val="0"/>
          <w:sz w:val="32"/>
          <w:szCs w:val="32"/>
        </w:rPr>
        <w:t>家，公益一类事业单位为</w:t>
      </w:r>
      <w:r>
        <w:rPr>
          <w:rFonts w:hint="eastAsia" w:ascii="仿宋_GB2312" w:hAnsi="宋体" w:eastAsia="仿宋_GB2312" w:cs="宋体"/>
          <w:kern w:val="0"/>
          <w:sz w:val="32"/>
          <w:szCs w:val="32"/>
          <w:lang w:val="en-US" w:eastAsia="zh-CN"/>
        </w:rPr>
        <w:t>1</w:t>
      </w:r>
      <w:r>
        <w:rPr>
          <w:rFonts w:hint="eastAsia" w:ascii="仿宋_GB2312" w:hAnsi="宋体" w:eastAsia="仿宋_GB2312" w:cs="宋体"/>
          <w:kern w:val="0"/>
          <w:sz w:val="32"/>
          <w:szCs w:val="32"/>
        </w:rPr>
        <w:t>家，公益二类事业单位为</w:t>
      </w:r>
      <w:r>
        <w:rPr>
          <w:rFonts w:hint="eastAsia" w:ascii="仿宋_GB2312" w:hAnsi="宋体" w:eastAsia="仿宋_GB2312" w:cs="宋体"/>
          <w:kern w:val="0"/>
          <w:sz w:val="32"/>
          <w:szCs w:val="32"/>
          <w:lang w:val="en-US" w:eastAsia="zh-CN"/>
        </w:rPr>
        <w:t>0</w:t>
      </w:r>
      <w:r>
        <w:rPr>
          <w:rFonts w:hint="eastAsia" w:ascii="仿宋_GB2312" w:hAnsi="宋体" w:eastAsia="仿宋_GB2312" w:cs="宋体"/>
          <w:kern w:val="0"/>
          <w:sz w:val="32"/>
          <w:szCs w:val="32"/>
        </w:rPr>
        <w:t>家。与去年相比，无变动。</w:t>
      </w:r>
    </w:p>
    <w:p>
      <w:pPr>
        <w:widowControl/>
        <w:spacing w:line="580" w:lineRule="exact"/>
        <w:ind w:firstLine="640" w:firstLineChars="200"/>
        <w:jc w:val="left"/>
        <w:rPr>
          <w:rFonts w:hint="eastAsia" w:ascii="仿宋_GB2312" w:hAnsi="宋体" w:eastAsia="仿宋_GB2312" w:cs="宋体"/>
          <w:kern w:val="0"/>
          <w:sz w:val="32"/>
          <w:szCs w:val="32"/>
        </w:rPr>
      </w:pPr>
      <w:r>
        <w:rPr>
          <w:rFonts w:hint="eastAsia" w:ascii="仿宋_GB2312" w:hAnsi="宋体" w:eastAsia="仿宋_GB2312" w:cs="宋体"/>
          <w:kern w:val="0"/>
          <w:sz w:val="32"/>
          <w:szCs w:val="32"/>
          <w:lang w:val="en-US" w:eastAsia="zh-CN"/>
        </w:rPr>
        <w:t>乌拉特后旗应急管理局</w:t>
      </w:r>
      <w:r>
        <w:rPr>
          <w:rFonts w:hint="eastAsia" w:ascii="仿宋_GB2312" w:hAnsi="宋体" w:eastAsia="仿宋_GB2312" w:cs="宋体"/>
          <w:kern w:val="0"/>
          <w:sz w:val="32"/>
          <w:szCs w:val="32"/>
        </w:rPr>
        <w:t>编制数为</w:t>
      </w:r>
      <w:r>
        <w:rPr>
          <w:rFonts w:hint="eastAsia" w:ascii="仿宋_GB2312" w:hAnsi="宋体" w:eastAsia="仿宋_GB2312" w:cs="宋体"/>
          <w:kern w:val="0"/>
          <w:sz w:val="32"/>
          <w:szCs w:val="32"/>
          <w:lang w:val="en-US" w:eastAsia="zh-CN"/>
        </w:rPr>
        <w:t>17</w:t>
      </w:r>
      <w:r>
        <w:rPr>
          <w:rFonts w:hint="eastAsia" w:ascii="仿宋_GB2312" w:hAnsi="宋体" w:eastAsia="仿宋_GB2312" w:cs="宋体"/>
          <w:kern w:val="0"/>
          <w:sz w:val="32"/>
          <w:szCs w:val="32"/>
        </w:rPr>
        <w:t>人。其中行政编制人数</w:t>
      </w:r>
      <w:r>
        <w:rPr>
          <w:rFonts w:hint="eastAsia" w:ascii="仿宋_GB2312" w:hAnsi="宋体" w:eastAsia="仿宋_GB2312" w:cs="宋体"/>
          <w:kern w:val="0"/>
          <w:sz w:val="32"/>
          <w:szCs w:val="32"/>
          <w:lang w:val="en-US" w:eastAsia="zh-CN"/>
        </w:rPr>
        <w:t>10</w:t>
      </w:r>
      <w:r>
        <w:rPr>
          <w:rFonts w:hint="eastAsia" w:ascii="仿宋_GB2312" w:hAnsi="宋体" w:eastAsia="仿宋_GB2312" w:cs="宋体"/>
          <w:kern w:val="0"/>
          <w:sz w:val="32"/>
          <w:szCs w:val="32"/>
        </w:rPr>
        <w:t>人，事业编制</w:t>
      </w:r>
      <w:r>
        <w:rPr>
          <w:rFonts w:hint="eastAsia" w:ascii="仿宋_GB2312" w:hAnsi="宋体" w:eastAsia="仿宋_GB2312" w:cs="宋体"/>
          <w:kern w:val="0"/>
          <w:sz w:val="32"/>
          <w:szCs w:val="32"/>
          <w:lang w:val="en-US" w:eastAsia="zh-CN"/>
        </w:rPr>
        <w:t>7</w:t>
      </w:r>
      <w:r>
        <w:rPr>
          <w:rFonts w:hint="eastAsia" w:ascii="仿宋_GB2312" w:hAnsi="宋体" w:eastAsia="仿宋_GB2312" w:cs="宋体"/>
          <w:kern w:val="0"/>
          <w:sz w:val="32"/>
          <w:szCs w:val="32"/>
        </w:rPr>
        <w:t>人。2020年末财政供养人员实有人数</w:t>
      </w:r>
      <w:r>
        <w:rPr>
          <w:rFonts w:hint="eastAsia" w:ascii="仿宋_GB2312" w:hAnsi="宋体" w:eastAsia="仿宋_GB2312" w:cs="宋体"/>
          <w:kern w:val="0"/>
          <w:sz w:val="32"/>
          <w:szCs w:val="32"/>
          <w:lang w:val="en-US" w:eastAsia="zh-CN"/>
        </w:rPr>
        <w:t>6</w:t>
      </w:r>
      <w:r>
        <w:rPr>
          <w:rFonts w:hint="eastAsia" w:ascii="仿宋_GB2312" w:hAnsi="宋体" w:eastAsia="仿宋_GB2312" w:cs="宋体"/>
          <w:kern w:val="0"/>
          <w:sz w:val="32"/>
          <w:szCs w:val="32"/>
        </w:rPr>
        <w:t>3人，比上年净</w:t>
      </w:r>
      <w:r>
        <w:rPr>
          <w:rFonts w:hint="eastAsia" w:ascii="仿宋_GB2312" w:hAnsi="宋体" w:eastAsia="仿宋_GB2312" w:cs="宋体"/>
          <w:kern w:val="0"/>
          <w:sz w:val="32"/>
          <w:szCs w:val="32"/>
          <w:lang w:val="en-US" w:eastAsia="zh-CN"/>
        </w:rPr>
        <w:t>减少1</w:t>
      </w:r>
      <w:r>
        <w:rPr>
          <w:rFonts w:hint="eastAsia" w:ascii="仿宋_GB2312" w:hAnsi="宋体" w:eastAsia="仿宋_GB2312" w:cs="宋体"/>
          <w:kern w:val="0"/>
          <w:sz w:val="32"/>
          <w:szCs w:val="32"/>
        </w:rPr>
        <w:t>人，其中在职人员</w:t>
      </w:r>
      <w:r>
        <w:rPr>
          <w:rFonts w:hint="eastAsia" w:ascii="仿宋_GB2312" w:hAnsi="宋体" w:eastAsia="仿宋_GB2312" w:cs="宋体"/>
          <w:kern w:val="0"/>
          <w:sz w:val="32"/>
          <w:szCs w:val="32"/>
          <w:lang w:val="en-US" w:eastAsia="zh-CN"/>
        </w:rPr>
        <w:t>47</w:t>
      </w:r>
      <w:r>
        <w:rPr>
          <w:rFonts w:hint="eastAsia" w:ascii="仿宋_GB2312" w:hAnsi="宋体" w:eastAsia="仿宋_GB2312" w:cs="宋体"/>
          <w:kern w:val="0"/>
          <w:sz w:val="32"/>
          <w:szCs w:val="32"/>
        </w:rPr>
        <w:t>人，比上年净</w:t>
      </w:r>
      <w:r>
        <w:rPr>
          <w:rFonts w:hint="eastAsia" w:ascii="仿宋_GB2312" w:hAnsi="宋体" w:eastAsia="仿宋_GB2312" w:cs="宋体"/>
          <w:kern w:val="0"/>
          <w:sz w:val="32"/>
          <w:szCs w:val="32"/>
          <w:lang w:val="en-US" w:eastAsia="zh-CN"/>
        </w:rPr>
        <w:t>减少1</w:t>
      </w:r>
      <w:r>
        <w:rPr>
          <w:rFonts w:hint="eastAsia" w:ascii="仿宋_GB2312" w:hAnsi="宋体" w:eastAsia="仿宋_GB2312" w:cs="宋体"/>
          <w:kern w:val="0"/>
          <w:sz w:val="32"/>
          <w:szCs w:val="32"/>
        </w:rPr>
        <w:t>人，其原因是工作调动；离休人员</w:t>
      </w:r>
      <w:r>
        <w:rPr>
          <w:rFonts w:hint="eastAsia" w:ascii="仿宋_GB2312" w:hAnsi="宋体" w:eastAsia="仿宋_GB2312" w:cs="宋体"/>
          <w:kern w:val="0"/>
          <w:sz w:val="32"/>
          <w:szCs w:val="32"/>
          <w:lang w:val="en-US" w:eastAsia="zh-CN"/>
        </w:rPr>
        <w:t>0</w:t>
      </w:r>
      <w:r>
        <w:rPr>
          <w:rFonts w:hint="eastAsia" w:ascii="仿宋_GB2312" w:hAnsi="宋体" w:eastAsia="仿宋_GB2312" w:cs="宋体"/>
          <w:kern w:val="0"/>
          <w:sz w:val="32"/>
          <w:szCs w:val="32"/>
        </w:rPr>
        <w:t>人，</w:t>
      </w:r>
      <w:r>
        <w:rPr>
          <w:rFonts w:hint="eastAsia" w:ascii="仿宋_GB2312" w:hAnsi="宋体" w:eastAsia="仿宋_GB2312" w:cs="宋体"/>
          <w:kern w:val="0"/>
          <w:sz w:val="32"/>
          <w:szCs w:val="32"/>
          <w:lang w:val="en-US" w:eastAsia="zh-CN"/>
        </w:rPr>
        <w:t>与</w:t>
      </w:r>
      <w:r>
        <w:rPr>
          <w:rFonts w:hint="eastAsia" w:ascii="仿宋_GB2312" w:hAnsi="宋体" w:eastAsia="仿宋_GB2312" w:cs="宋体"/>
          <w:kern w:val="0"/>
          <w:sz w:val="32"/>
          <w:szCs w:val="32"/>
        </w:rPr>
        <w:t>上年</w:t>
      </w:r>
      <w:r>
        <w:rPr>
          <w:rFonts w:hint="eastAsia" w:ascii="仿宋_GB2312" w:hAnsi="宋体" w:eastAsia="仿宋_GB2312" w:cs="宋体"/>
          <w:kern w:val="0"/>
          <w:sz w:val="32"/>
          <w:szCs w:val="32"/>
          <w:lang w:val="en-US" w:eastAsia="zh-CN"/>
        </w:rPr>
        <w:t>持平</w:t>
      </w:r>
      <w:r>
        <w:rPr>
          <w:rFonts w:hint="eastAsia" w:ascii="仿宋_GB2312" w:hAnsi="宋体" w:eastAsia="仿宋_GB2312" w:cs="宋体"/>
          <w:kern w:val="0"/>
          <w:sz w:val="32"/>
          <w:szCs w:val="32"/>
        </w:rPr>
        <w:t>；退休人员</w:t>
      </w:r>
      <w:r>
        <w:rPr>
          <w:rFonts w:hint="eastAsia" w:ascii="仿宋_GB2312" w:hAnsi="宋体" w:eastAsia="仿宋_GB2312" w:cs="宋体"/>
          <w:kern w:val="0"/>
          <w:sz w:val="32"/>
          <w:szCs w:val="32"/>
          <w:lang w:val="en-US" w:eastAsia="zh-CN"/>
        </w:rPr>
        <w:t>16</w:t>
      </w:r>
      <w:r>
        <w:rPr>
          <w:rFonts w:hint="eastAsia" w:ascii="仿宋_GB2312" w:hAnsi="宋体" w:eastAsia="仿宋_GB2312" w:cs="宋体"/>
          <w:kern w:val="0"/>
          <w:sz w:val="32"/>
          <w:szCs w:val="32"/>
        </w:rPr>
        <w:t>人，比上年增加</w:t>
      </w:r>
      <w:r>
        <w:rPr>
          <w:rFonts w:hint="eastAsia" w:ascii="仿宋_GB2312" w:hAnsi="宋体" w:eastAsia="仿宋_GB2312" w:cs="宋体"/>
          <w:kern w:val="0"/>
          <w:sz w:val="32"/>
          <w:szCs w:val="32"/>
          <w:lang w:val="en-US" w:eastAsia="zh-CN"/>
        </w:rPr>
        <w:t>2</w:t>
      </w:r>
      <w:r>
        <w:rPr>
          <w:rFonts w:hint="eastAsia" w:ascii="仿宋_GB2312" w:hAnsi="宋体" w:eastAsia="仿宋_GB2312" w:cs="宋体"/>
          <w:kern w:val="0"/>
          <w:sz w:val="32"/>
          <w:szCs w:val="32"/>
        </w:rPr>
        <w:t>人，其原因是在职人员退休。</w:t>
      </w:r>
    </w:p>
    <w:p>
      <w:pPr>
        <w:widowControl/>
        <w:spacing w:line="580" w:lineRule="exact"/>
        <w:ind w:firstLine="643" w:firstLineChars="200"/>
        <w:jc w:val="left"/>
        <w:rPr>
          <w:rFonts w:hint="eastAsia" w:ascii="楷体_GB2312" w:hAnsi="宋体" w:eastAsia="楷体_GB2312" w:cs="宋体"/>
          <w:b/>
          <w:kern w:val="0"/>
          <w:sz w:val="32"/>
          <w:szCs w:val="32"/>
        </w:rPr>
      </w:pPr>
      <w:r>
        <w:rPr>
          <w:rFonts w:hint="eastAsia" w:ascii="楷体_GB2312" w:hAnsi="宋体" w:eastAsia="楷体_GB2312" w:cs="宋体"/>
          <w:b/>
          <w:kern w:val="0"/>
          <w:sz w:val="32"/>
          <w:szCs w:val="32"/>
        </w:rPr>
        <w:t>（二）</w:t>
      </w:r>
      <w:r>
        <w:rPr>
          <w:rFonts w:hint="eastAsia" w:ascii="楷体_GB2312" w:hAnsi="宋体" w:eastAsia="楷体_GB2312" w:cs="宋体"/>
          <w:b/>
          <w:kern w:val="0"/>
          <w:sz w:val="32"/>
          <w:szCs w:val="32"/>
          <w:lang w:eastAsia="zh-CN"/>
        </w:rPr>
        <w:t>乌拉特后旗应急管理局</w:t>
      </w:r>
      <w:r>
        <w:rPr>
          <w:rFonts w:hint="eastAsia" w:ascii="楷体_GB2312" w:hAnsi="宋体" w:eastAsia="楷体_GB2312" w:cs="宋体"/>
          <w:b/>
          <w:kern w:val="0"/>
          <w:sz w:val="32"/>
          <w:szCs w:val="32"/>
        </w:rPr>
        <w:t>厅属单位设置</w:t>
      </w:r>
    </w:p>
    <w:p>
      <w:pPr>
        <w:tabs>
          <w:tab w:val="left" w:pos="3532"/>
        </w:tabs>
        <w:autoSpaceDE w:val="0"/>
        <w:autoSpaceDN w:val="0"/>
        <w:adjustRightInd w:val="0"/>
        <w:spacing w:line="560" w:lineRule="exact"/>
        <w:ind w:firstLine="645"/>
        <w:rPr>
          <w:rFonts w:hint="eastAsia" w:ascii="仿宋_GB2312" w:hAnsi="宋体" w:eastAsia="仿宋_GB2312"/>
          <w:b/>
          <w:bCs/>
          <w:sz w:val="32"/>
          <w:szCs w:val="32"/>
        </w:rPr>
      </w:pPr>
      <w:r>
        <w:rPr>
          <w:rFonts w:hint="eastAsia" w:ascii="仿宋_GB2312" w:eastAsia="仿宋_GB2312"/>
          <w:b/>
          <w:bCs/>
          <w:sz w:val="32"/>
        </w:rPr>
        <w:t xml:space="preserve"> </w:t>
      </w:r>
      <w:r>
        <w:rPr>
          <w:rFonts w:hint="eastAsia" w:ascii="仿宋_GB2312" w:hAnsi="宋体" w:eastAsia="仿宋_GB2312"/>
          <w:bCs/>
          <w:sz w:val="32"/>
          <w:szCs w:val="32"/>
        </w:rPr>
        <w:t>纳入</w:t>
      </w:r>
      <w:r>
        <w:rPr>
          <w:rFonts w:hint="eastAsia" w:ascii="仿宋_GB2312" w:hAnsi="宋体" w:eastAsia="仿宋_GB2312"/>
          <w:bCs/>
          <w:sz w:val="32"/>
          <w:szCs w:val="32"/>
          <w:lang w:val="en-US" w:eastAsia="zh-CN"/>
        </w:rPr>
        <w:t>乌拉特应急管理局</w:t>
      </w:r>
      <w:r>
        <w:rPr>
          <w:rFonts w:hint="eastAsia" w:ascii="仿宋_GB2312" w:hAnsi="宋体" w:eastAsia="仿宋_GB2312"/>
          <w:bCs/>
          <w:sz w:val="32"/>
          <w:szCs w:val="32"/>
        </w:rPr>
        <w:t>2021年部门预算编制范围的单位情况如下：</w:t>
      </w:r>
    </w:p>
    <w:p>
      <w:pPr>
        <w:tabs>
          <w:tab w:val="left" w:pos="3532"/>
        </w:tabs>
        <w:autoSpaceDE w:val="0"/>
        <w:autoSpaceDN w:val="0"/>
        <w:adjustRightInd w:val="0"/>
        <w:spacing w:line="560" w:lineRule="exact"/>
        <w:ind w:firstLine="645"/>
        <w:jc w:val="center"/>
        <w:rPr>
          <w:rFonts w:hint="eastAsia" w:ascii="仿宋_GB2312" w:hAnsi="宋体" w:eastAsia="仿宋_GB2312"/>
          <w:b/>
          <w:bCs/>
          <w:sz w:val="32"/>
          <w:szCs w:val="32"/>
        </w:rPr>
      </w:pPr>
    </w:p>
    <w:p>
      <w:pPr>
        <w:tabs>
          <w:tab w:val="left" w:pos="3532"/>
        </w:tabs>
        <w:autoSpaceDE w:val="0"/>
        <w:autoSpaceDN w:val="0"/>
        <w:adjustRightInd w:val="0"/>
        <w:spacing w:line="560" w:lineRule="exact"/>
        <w:ind w:firstLine="645"/>
        <w:jc w:val="center"/>
        <w:rPr>
          <w:rFonts w:hint="eastAsia" w:ascii="仿宋_GB2312" w:hAnsi="宋体" w:eastAsia="仿宋_GB2312"/>
          <w:b/>
          <w:bCs/>
          <w:sz w:val="32"/>
          <w:szCs w:val="32"/>
        </w:rPr>
      </w:pPr>
      <w:r>
        <w:rPr>
          <w:rFonts w:hint="eastAsia" w:ascii="仿宋_GB2312" w:hAnsi="宋体" w:eastAsia="仿宋_GB2312"/>
          <w:b/>
          <w:bCs/>
          <w:sz w:val="32"/>
          <w:szCs w:val="32"/>
        </w:rPr>
        <w:t>单位情况表</w:t>
      </w:r>
    </w:p>
    <w:p>
      <w:pPr>
        <w:tabs>
          <w:tab w:val="left" w:pos="3532"/>
        </w:tabs>
        <w:autoSpaceDE w:val="0"/>
        <w:autoSpaceDN w:val="0"/>
        <w:adjustRightInd w:val="0"/>
        <w:spacing w:line="560" w:lineRule="exact"/>
        <w:ind w:firstLine="645"/>
        <w:jc w:val="center"/>
        <w:rPr>
          <w:rFonts w:hint="eastAsia" w:ascii="仿宋_GB2312" w:hAnsi="宋体" w:eastAsia="仿宋_GB2312"/>
          <w:b/>
          <w:bCs/>
          <w:sz w:val="32"/>
          <w:szCs w:val="32"/>
        </w:rPr>
      </w:pPr>
    </w:p>
    <w:tbl>
      <w:tblPr>
        <w:tblStyle w:val="6"/>
        <w:tblW w:w="85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5"/>
        <w:gridCol w:w="4381"/>
        <w:gridCol w:w="33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95" w:type="dxa"/>
            <w:noWrap w:val="0"/>
            <w:vAlign w:val="center"/>
          </w:tcPr>
          <w:p>
            <w:pPr>
              <w:tabs>
                <w:tab w:val="left" w:pos="3532"/>
              </w:tabs>
              <w:autoSpaceDE w:val="0"/>
              <w:autoSpaceDN w:val="0"/>
              <w:adjustRightInd w:val="0"/>
              <w:spacing w:line="560" w:lineRule="exact"/>
              <w:jc w:val="center"/>
              <w:rPr>
                <w:rFonts w:hint="eastAsia" w:ascii="楷体_GB2312" w:hAnsi="宋体" w:eastAsia="楷体_GB2312"/>
                <w:b/>
                <w:bCs/>
                <w:spacing w:val="-20"/>
                <w:sz w:val="32"/>
                <w:szCs w:val="32"/>
              </w:rPr>
            </w:pPr>
            <w:r>
              <w:rPr>
                <w:rFonts w:hint="eastAsia" w:ascii="楷体_GB2312" w:hAnsi="宋体" w:eastAsia="楷体_GB2312"/>
                <w:b/>
                <w:bCs/>
                <w:spacing w:val="-20"/>
                <w:sz w:val="32"/>
                <w:szCs w:val="32"/>
              </w:rPr>
              <w:t>序号</w:t>
            </w:r>
          </w:p>
        </w:tc>
        <w:tc>
          <w:tcPr>
            <w:tcW w:w="4381" w:type="dxa"/>
            <w:noWrap w:val="0"/>
            <w:vAlign w:val="center"/>
          </w:tcPr>
          <w:p>
            <w:pPr>
              <w:tabs>
                <w:tab w:val="left" w:pos="3532"/>
              </w:tabs>
              <w:autoSpaceDE w:val="0"/>
              <w:autoSpaceDN w:val="0"/>
              <w:adjustRightInd w:val="0"/>
              <w:spacing w:line="560" w:lineRule="exact"/>
              <w:jc w:val="center"/>
              <w:rPr>
                <w:rFonts w:hint="eastAsia" w:ascii="楷体_GB2312" w:hAnsi="宋体" w:eastAsia="楷体_GB2312"/>
                <w:b/>
                <w:bCs/>
                <w:sz w:val="32"/>
                <w:szCs w:val="32"/>
              </w:rPr>
            </w:pPr>
            <w:r>
              <w:rPr>
                <w:rFonts w:hint="eastAsia" w:ascii="楷体_GB2312" w:hAnsi="宋体" w:eastAsia="楷体_GB2312"/>
                <w:b/>
                <w:bCs/>
                <w:sz w:val="32"/>
                <w:szCs w:val="32"/>
              </w:rPr>
              <w:t>单位名称</w:t>
            </w:r>
          </w:p>
        </w:tc>
        <w:tc>
          <w:tcPr>
            <w:tcW w:w="3359" w:type="dxa"/>
            <w:noWrap w:val="0"/>
            <w:vAlign w:val="center"/>
          </w:tcPr>
          <w:p>
            <w:pPr>
              <w:tabs>
                <w:tab w:val="left" w:pos="3532"/>
              </w:tabs>
              <w:autoSpaceDE w:val="0"/>
              <w:autoSpaceDN w:val="0"/>
              <w:adjustRightInd w:val="0"/>
              <w:spacing w:line="560" w:lineRule="exact"/>
              <w:jc w:val="center"/>
              <w:rPr>
                <w:rFonts w:hint="eastAsia" w:ascii="楷体_GB2312" w:hAnsi="宋体" w:eastAsia="楷体_GB2312"/>
                <w:b/>
                <w:bCs/>
                <w:sz w:val="32"/>
                <w:szCs w:val="32"/>
              </w:rPr>
            </w:pPr>
            <w:r>
              <w:rPr>
                <w:rFonts w:hint="eastAsia" w:ascii="楷体_GB2312" w:hAnsi="宋体" w:eastAsia="楷体_GB2312"/>
                <w:b/>
                <w:bCs/>
                <w:sz w:val="32"/>
                <w:szCs w:val="32"/>
              </w:rPr>
              <w:t>单位性质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95" w:type="dxa"/>
            <w:noWrap w:val="0"/>
            <w:vAlign w:val="center"/>
          </w:tcPr>
          <w:p>
            <w:pPr>
              <w:tabs>
                <w:tab w:val="left" w:pos="3532"/>
              </w:tabs>
              <w:autoSpaceDE w:val="0"/>
              <w:autoSpaceDN w:val="0"/>
              <w:adjustRightInd w:val="0"/>
              <w:spacing w:line="560" w:lineRule="exact"/>
              <w:jc w:val="center"/>
              <w:rPr>
                <w:rFonts w:hint="eastAsia" w:ascii="楷体_GB2312" w:hAnsi="宋体" w:eastAsia="楷体_GB2312"/>
                <w:bCs/>
                <w:sz w:val="24"/>
              </w:rPr>
            </w:pPr>
            <w:r>
              <w:rPr>
                <w:rFonts w:hint="eastAsia" w:ascii="楷体_GB2312" w:hAnsi="宋体" w:eastAsia="楷体_GB2312"/>
                <w:bCs/>
                <w:sz w:val="24"/>
              </w:rPr>
              <w:t>1</w:t>
            </w:r>
          </w:p>
        </w:tc>
        <w:tc>
          <w:tcPr>
            <w:tcW w:w="4381" w:type="dxa"/>
            <w:noWrap w:val="0"/>
            <w:vAlign w:val="center"/>
          </w:tcPr>
          <w:p>
            <w:pPr>
              <w:tabs>
                <w:tab w:val="left" w:pos="3532"/>
              </w:tabs>
              <w:autoSpaceDE w:val="0"/>
              <w:autoSpaceDN w:val="0"/>
              <w:adjustRightInd w:val="0"/>
              <w:spacing w:line="560" w:lineRule="exact"/>
              <w:jc w:val="center"/>
              <w:rPr>
                <w:rFonts w:hint="eastAsia" w:ascii="楷体_GB2312" w:hAnsi="宋体" w:eastAsia="楷体_GB2312"/>
                <w:bCs/>
                <w:sz w:val="24"/>
              </w:rPr>
            </w:pPr>
            <w:r>
              <w:rPr>
                <w:rFonts w:hint="eastAsia" w:ascii="楷体_GB2312" w:hAnsi="宋体" w:eastAsia="楷体_GB2312" w:cs="宋体"/>
                <w:kern w:val="0"/>
                <w:sz w:val="24"/>
                <w:lang w:eastAsia="zh-CN"/>
              </w:rPr>
              <w:t>乌拉特后旗应急管理局</w:t>
            </w:r>
            <w:r>
              <w:rPr>
                <w:rFonts w:hint="eastAsia" w:ascii="楷体_GB2312" w:hAnsi="宋体" w:eastAsia="楷体_GB2312" w:cs="宋体"/>
                <w:kern w:val="0"/>
                <w:sz w:val="24"/>
              </w:rPr>
              <w:t>本级</w:t>
            </w:r>
          </w:p>
        </w:tc>
        <w:tc>
          <w:tcPr>
            <w:tcW w:w="3359" w:type="dxa"/>
            <w:noWrap w:val="0"/>
            <w:vAlign w:val="center"/>
          </w:tcPr>
          <w:p>
            <w:pPr>
              <w:tabs>
                <w:tab w:val="left" w:pos="3532"/>
              </w:tabs>
              <w:autoSpaceDE w:val="0"/>
              <w:autoSpaceDN w:val="0"/>
              <w:adjustRightInd w:val="0"/>
              <w:spacing w:line="560" w:lineRule="exact"/>
              <w:jc w:val="center"/>
              <w:rPr>
                <w:rFonts w:hint="eastAsia" w:ascii="楷体_GB2312" w:hAnsi="宋体" w:eastAsia="楷体_GB2312"/>
                <w:bCs/>
                <w:spacing w:val="-20"/>
                <w:sz w:val="24"/>
              </w:rPr>
            </w:pPr>
            <w:r>
              <w:rPr>
                <w:rFonts w:hint="eastAsia" w:ascii="楷体_GB2312" w:hAnsi="宋体" w:eastAsia="楷体_GB2312" w:cs="宋体"/>
                <w:spacing w:val="-20"/>
                <w:kern w:val="0"/>
                <w:sz w:val="24"/>
              </w:rPr>
              <w:t>财政拨款的行政单位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95" w:type="dxa"/>
            <w:noWrap w:val="0"/>
            <w:vAlign w:val="center"/>
          </w:tcPr>
          <w:p>
            <w:pPr>
              <w:tabs>
                <w:tab w:val="left" w:pos="3532"/>
              </w:tabs>
              <w:autoSpaceDE w:val="0"/>
              <w:autoSpaceDN w:val="0"/>
              <w:adjustRightInd w:val="0"/>
              <w:spacing w:line="560" w:lineRule="exact"/>
              <w:jc w:val="center"/>
              <w:rPr>
                <w:rFonts w:hint="eastAsia" w:ascii="楷体_GB2312" w:hAnsi="宋体" w:eastAsia="楷体_GB2312"/>
                <w:bCs/>
                <w:sz w:val="24"/>
              </w:rPr>
            </w:pPr>
            <w:r>
              <w:rPr>
                <w:rFonts w:hint="eastAsia" w:ascii="楷体_GB2312" w:hAnsi="宋体" w:eastAsia="楷体_GB2312"/>
                <w:bCs/>
                <w:sz w:val="24"/>
              </w:rPr>
              <w:t>2</w:t>
            </w:r>
          </w:p>
        </w:tc>
        <w:tc>
          <w:tcPr>
            <w:tcW w:w="4381" w:type="dxa"/>
            <w:noWrap w:val="0"/>
            <w:vAlign w:val="center"/>
          </w:tcPr>
          <w:p>
            <w:pPr>
              <w:tabs>
                <w:tab w:val="left" w:pos="3532"/>
              </w:tabs>
              <w:autoSpaceDE w:val="0"/>
              <w:autoSpaceDN w:val="0"/>
              <w:adjustRightInd w:val="0"/>
              <w:spacing w:line="560" w:lineRule="exact"/>
              <w:jc w:val="center"/>
              <w:rPr>
                <w:rFonts w:hint="eastAsia" w:ascii="楷体_GB2312" w:hAnsi="宋体" w:eastAsia="楷体_GB2312"/>
                <w:bCs/>
                <w:sz w:val="24"/>
              </w:rPr>
            </w:pPr>
            <w:r>
              <w:rPr>
                <w:rFonts w:hint="eastAsia" w:ascii="楷体_GB2312" w:hAnsi="宋体" w:eastAsia="楷体_GB2312" w:cs="宋体"/>
                <w:kern w:val="0"/>
                <w:sz w:val="24"/>
              </w:rPr>
              <w:t>乌拉特后旗地震观测站</w:t>
            </w:r>
          </w:p>
        </w:tc>
        <w:tc>
          <w:tcPr>
            <w:tcW w:w="3359" w:type="dxa"/>
            <w:noWrap w:val="0"/>
            <w:vAlign w:val="center"/>
          </w:tcPr>
          <w:p>
            <w:pPr>
              <w:jc w:val="center"/>
              <w:rPr>
                <w:rFonts w:hint="eastAsia" w:ascii="楷体_GB2312" w:eastAsia="楷体_GB2312"/>
                <w:spacing w:val="-20"/>
                <w:sz w:val="24"/>
              </w:rPr>
            </w:pPr>
            <w:r>
              <w:rPr>
                <w:rFonts w:hint="eastAsia" w:ascii="楷体_GB2312" w:hAnsi="宋体" w:eastAsia="楷体_GB2312" w:cs="宋体"/>
                <w:spacing w:val="-20"/>
                <w:kern w:val="0"/>
                <w:sz w:val="24"/>
              </w:rPr>
              <w:t>公益一类事业单位</w:t>
            </w:r>
          </w:p>
        </w:tc>
      </w:tr>
    </w:tbl>
    <w:p>
      <w:pPr>
        <w:widowControl/>
        <w:spacing w:line="580" w:lineRule="exact"/>
        <w:rPr>
          <w:rFonts w:hint="eastAsia" w:ascii="仿宋_GB2312" w:hAnsi="宋体" w:eastAsia="仿宋_GB2312" w:cs="宋体"/>
          <w:kern w:val="0"/>
          <w:sz w:val="32"/>
          <w:szCs w:val="32"/>
        </w:rPr>
      </w:pPr>
    </w:p>
    <w:p>
      <w:pPr>
        <w:tabs>
          <w:tab w:val="left" w:pos="3532"/>
        </w:tabs>
        <w:autoSpaceDE w:val="0"/>
        <w:autoSpaceDN w:val="0"/>
        <w:adjustRightInd w:val="0"/>
        <w:spacing w:line="560" w:lineRule="exact"/>
        <w:ind w:firstLine="720" w:firstLineChars="200"/>
        <w:rPr>
          <w:rFonts w:hint="eastAsia" w:ascii="方正小标宋简体" w:hAnsi="宋体" w:eastAsia="方正小标宋简体"/>
          <w:bCs/>
          <w:sz w:val="36"/>
          <w:szCs w:val="36"/>
        </w:rPr>
      </w:pPr>
    </w:p>
    <w:p>
      <w:pPr>
        <w:spacing w:line="560" w:lineRule="exact"/>
        <w:jc w:val="both"/>
        <w:rPr>
          <w:rFonts w:hint="eastAsia" w:ascii="方正小标宋简体" w:hAnsi="宋体" w:eastAsia="方正小标宋简体"/>
          <w:bCs/>
          <w:sz w:val="36"/>
          <w:szCs w:val="36"/>
        </w:rPr>
      </w:pPr>
    </w:p>
    <w:p>
      <w:pPr>
        <w:spacing w:line="560" w:lineRule="exact"/>
        <w:jc w:val="center"/>
        <w:rPr>
          <w:rFonts w:hint="eastAsia" w:ascii="方正小标宋简体" w:hAnsi="宋体" w:eastAsia="方正小标宋简体"/>
          <w:bCs/>
          <w:sz w:val="36"/>
          <w:szCs w:val="36"/>
        </w:rPr>
      </w:pPr>
    </w:p>
    <w:p>
      <w:pPr>
        <w:spacing w:line="560" w:lineRule="exact"/>
        <w:jc w:val="center"/>
        <w:rPr>
          <w:rFonts w:hint="eastAsia" w:ascii="方正小标宋简体" w:hAnsi="宋体" w:eastAsia="方正小标宋简体"/>
          <w:bCs/>
          <w:sz w:val="36"/>
          <w:szCs w:val="36"/>
        </w:rPr>
      </w:pPr>
    </w:p>
    <w:p>
      <w:pPr>
        <w:spacing w:line="560" w:lineRule="exact"/>
        <w:jc w:val="center"/>
        <w:rPr>
          <w:rFonts w:hint="eastAsia" w:ascii="方正小标宋简体" w:hAnsi="宋体" w:eastAsia="方正小标宋简体"/>
          <w:bCs/>
          <w:sz w:val="36"/>
          <w:szCs w:val="36"/>
        </w:rPr>
      </w:pPr>
    </w:p>
    <w:p>
      <w:pPr>
        <w:spacing w:line="560" w:lineRule="exact"/>
        <w:jc w:val="both"/>
        <w:rPr>
          <w:rFonts w:hint="eastAsia" w:ascii="方正小标宋简体" w:hAnsi="宋体" w:eastAsia="方正小标宋简体"/>
          <w:bCs/>
          <w:sz w:val="36"/>
          <w:szCs w:val="36"/>
        </w:rPr>
      </w:pPr>
    </w:p>
    <w:p>
      <w:pPr>
        <w:spacing w:line="560" w:lineRule="exact"/>
        <w:jc w:val="both"/>
        <w:rPr>
          <w:rFonts w:hint="eastAsia" w:ascii="方正小标宋简体" w:hAnsi="宋体" w:eastAsia="方正小标宋简体"/>
          <w:bCs/>
          <w:sz w:val="36"/>
          <w:szCs w:val="36"/>
        </w:rPr>
      </w:pPr>
    </w:p>
    <w:p>
      <w:pPr>
        <w:spacing w:line="560" w:lineRule="exact"/>
        <w:rPr>
          <w:rFonts w:hint="eastAsia" w:ascii="方正小标宋简体" w:hAnsi="宋体" w:eastAsia="方正小标宋简体"/>
          <w:bCs/>
          <w:sz w:val="36"/>
          <w:szCs w:val="36"/>
        </w:rPr>
      </w:pPr>
      <w:r>
        <w:rPr>
          <w:rFonts w:hint="eastAsia" w:ascii="方正小标宋简体" w:hAnsi="宋体" w:eastAsia="方正小标宋简体"/>
          <w:bCs/>
          <w:sz w:val="36"/>
          <w:szCs w:val="36"/>
        </w:rPr>
        <w:t xml:space="preserve"> </w:t>
      </w:r>
    </w:p>
    <w:p>
      <w:pPr>
        <w:spacing w:line="560" w:lineRule="exact"/>
        <w:jc w:val="center"/>
        <w:rPr>
          <w:rFonts w:hint="eastAsia" w:ascii="方正小标宋简体" w:hAnsi="宋体" w:eastAsia="方正小标宋简体"/>
          <w:bCs/>
          <w:sz w:val="36"/>
          <w:szCs w:val="36"/>
        </w:rPr>
      </w:pPr>
    </w:p>
    <w:p>
      <w:pPr>
        <w:spacing w:line="560" w:lineRule="exact"/>
        <w:jc w:val="center"/>
        <w:rPr>
          <w:rFonts w:hint="eastAsia" w:ascii="方正小标宋简体" w:hAnsi="宋体" w:eastAsia="方正小标宋简体"/>
          <w:bCs/>
          <w:sz w:val="36"/>
          <w:szCs w:val="36"/>
        </w:rPr>
      </w:pPr>
    </w:p>
    <w:p>
      <w:pPr>
        <w:spacing w:line="560" w:lineRule="exact"/>
        <w:rPr>
          <w:rFonts w:hint="eastAsia" w:ascii="方正小标宋简体" w:hAnsi="宋体" w:eastAsia="方正小标宋简体"/>
          <w:bCs/>
          <w:sz w:val="36"/>
          <w:szCs w:val="36"/>
        </w:rPr>
      </w:pPr>
    </w:p>
    <w:p>
      <w:pPr>
        <w:spacing w:line="560" w:lineRule="exact"/>
        <w:jc w:val="center"/>
        <w:rPr>
          <w:rFonts w:hint="eastAsia" w:ascii="方正小标宋简体" w:hAnsi="宋体" w:eastAsia="方正小标宋简体"/>
          <w:bCs/>
          <w:sz w:val="36"/>
          <w:szCs w:val="36"/>
        </w:rPr>
      </w:pPr>
      <w:r>
        <w:rPr>
          <w:rFonts w:hint="eastAsia" w:ascii="方正小标宋简体" w:hAnsi="宋体" w:eastAsia="方正小标宋简体"/>
          <w:bCs/>
          <w:sz w:val="36"/>
          <w:szCs w:val="36"/>
        </w:rPr>
        <w:t>第二部分</w:t>
      </w:r>
    </w:p>
    <w:p>
      <w:pPr>
        <w:spacing w:line="560" w:lineRule="exact"/>
        <w:jc w:val="center"/>
        <w:rPr>
          <w:rFonts w:hint="eastAsia" w:ascii="方正小标宋简体" w:hAnsi="宋体" w:eastAsia="方正小标宋简体"/>
          <w:bCs/>
          <w:sz w:val="36"/>
          <w:szCs w:val="36"/>
        </w:rPr>
      </w:pPr>
    </w:p>
    <w:p>
      <w:pPr>
        <w:spacing w:line="560" w:lineRule="exact"/>
        <w:jc w:val="center"/>
        <w:rPr>
          <w:rFonts w:hint="eastAsia" w:ascii="方正小标宋简体" w:hAnsi="宋体" w:eastAsia="方正小标宋简体"/>
          <w:bCs/>
          <w:sz w:val="36"/>
          <w:szCs w:val="36"/>
          <w:lang w:eastAsia="zh-CN"/>
        </w:rPr>
      </w:pPr>
      <w:r>
        <w:rPr>
          <w:rFonts w:hint="eastAsia" w:ascii="方正小标宋简体" w:hAnsi="宋体" w:eastAsia="方正小标宋简体"/>
          <w:bCs/>
          <w:sz w:val="36"/>
          <w:szCs w:val="36"/>
          <w:lang w:eastAsia="zh-CN"/>
        </w:rPr>
        <w:t>乌拉特后旗应急管理局</w:t>
      </w:r>
    </w:p>
    <w:p>
      <w:pPr>
        <w:spacing w:line="560" w:lineRule="exact"/>
        <w:jc w:val="center"/>
        <w:rPr>
          <w:rFonts w:hint="eastAsia" w:ascii="方正小标宋简体" w:hAnsi="宋体" w:eastAsia="方正小标宋简体"/>
          <w:bCs/>
          <w:sz w:val="36"/>
          <w:szCs w:val="36"/>
        </w:rPr>
      </w:pPr>
      <w:r>
        <w:rPr>
          <w:rFonts w:hint="eastAsia" w:ascii="方正小标宋简体" w:hAnsi="宋体" w:eastAsia="方正小标宋简体"/>
          <w:bCs/>
          <w:sz w:val="36"/>
          <w:szCs w:val="36"/>
        </w:rPr>
        <w:t>2021年部门预算安排情况说明</w:t>
      </w: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r>
        <w:rPr>
          <w:rFonts w:hint="eastAsia" w:ascii="方正小标宋简体" w:hAnsi="宋体" w:eastAsia="方正小标宋简体"/>
          <w:bCs/>
          <w:sz w:val="36"/>
          <w:szCs w:val="36"/>
        </w:rPr>
        <w:t xml:space="preserve"> </w:t>
      </w: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widowControl/>
        <w:spacing w:line="360" w:lineRule="auto"/>
        <w:jc w:val="left"/>
        <w:rPr>
          <w:rFonts w:hint="eastAsia" w:ascii="方正小标宋简体" w:hAnsi="宋体" w:eastAsia="方正小标宋简体"/>
          <w:bCs/>
          <w:sz w:val="32"/>
          <w:szCs w:val="32"/>
        </w:rPr>
      </w:pPr>
    </w:p>
    <w:p>
      <w:pPr>
        <w:widowControl/>
        <w:spacing w:before="156" w:beforeLines="50" w:after="156" w:afterLines="50" w:line="360" w:lineRule="auto"/>
        <w:ind w:firstLine="640" w:firstLineChars="200"/>
        <w:jc w:val="left"/>
        <w:rPr>
          <w:rFonts w:hint="eastAsia" w:ascii="黑体" w:hAnsi="黑体" w:eastAsia="黑体" w:cs="黑体"/>
          <w:bCs/>
          <w:sz w:val="32"/>
          <w:szCs w:val="32"/>
        </w:rPr>
      </w:pPr>
      <w:r>
        <w:rPr>
          <w:rFonts w:hint="eastAsia" w:ascii="黑体" w:hAnsi="黑体" w:eastAsia="黑体" w:cs="黑体"/>
          <w:bCs/>
          <w:sz w:val="32"/>
          <w:szCs w:val="32"/>
        </w:rPr>
        <w:t>一、2021年公共预算收支情况的总体说明</w:t>
      </w:r>
    </w:p>
    <w:p>
      <w:pPr>
        <w:pBdr>
          <w:bottom w:val="single" w:color="FFFFFF" w:sz="4" w:space="30"/>
        </w:pBdr>
        <w:snapToGrid w:val="0"/>
        <w:spacing w:line="580" w:lineRule="exact"/>
        <w:ind w:firstLine="640" w:firstLineChars="200"/>
        <w:rPr>
          <w:rFonts w:hint="eastAsia" w:ascii="仿宋_GB2312" w:eastAsia="仿宋_GB2312"/>
          <w:sz w:val="32"/>
          <w:szCs w:val="32"/>
        </w:rPr>
      </w:pPr>
      <w:r>
        <w:rPr>
          <w:rFonts w:hint="eastAsia" w:ascii="仿宋_GB2312" w:hAnsi="宋体" w:eastAsia="仿宋_GB2312" w:cs="宋体"/>
          <w:kern w:val="0"/>
          <w:sz w:val="32"/>
          <w:szCs w:val="32"/>
        </w:rPr>
        <w:t>2021年部门预算总收入为</w:t>
      </w:r>
      <w:r>
        <w:rPr>
          <w:rFonts w:hint="eastAsia" w:ascii="仿宋_GB2312" w:hAnsi="宋体" w:eastAsia="仿宋_GB2312" w:cs="宋体"/>
          <w:kern w:val="0"/>
          <w:sz w:val="32"/>
          <w:szCs w:val="32"/>
          <w:lang w:val="en-US" w:eastAsia="zh-CN"/>
        </w:rPr>
        <w:t>714.74</w:t>
      </w:r>
      <w:r>
        <w:rPr>
          <w:rFonts w:hint="eastAsia" w:ascii="仿宋_GB2312" w:hAnsi="宋体" w:eastAsia="仿宋_GB2312" w:cs="宋体"/>
          <w:kern w:val="0"/>
          <w:sz w:val="32"/>
          <w:szCs w:val="32"/>
        </w:rPr>
        <w:t>万元，</w:t>
      </w:r>
      <w:r>
        <w:rPr>
          <w:rFonts w:hint="eastAsia" w:ascii="仿宋_GB2312" w:eastAsia="仿宋_GB2312"/>
          <w:sz w:val="32"/>
          <w:szCs w:val="32"/>
        </w:rPr>
        <w:t>其来源为一般公共预算拨款、其他收入和上年结转结余。主要用于</w:t>
      </w:r>
      <w:r>
        <w:rPr>
          <w:rFonts w:hint="eastAsia" w:ascii="仿宋_GB2312" w:eastAsia="仿宋_GB2312"/>
          <w:sz w:val="32"/>
          <w:szCs w:val="32"/>
          <w:lang w:val="en-US" w:eastAsia="zh-CN"/>
        </w:rPr>
        <w:t>乌拉特后旗应急管理局</w:t>
      </w:r>
      <w:r>
        <w:rPr>
          <w:rFonts w:hint="eastAsia" w:ascii="仿宋_GB2312" w:eastAsia="仿宋_GB2312"/>
          <w:sz w:val="32"/>
          <w:szCs w:val="32"/>
        </w:rPr>
        <w:t>其所属单位保障机构正常运转、开展</w:t>
      </w:r>
      <w:r>
        <w:rPr>
          <w:rFonts w:hint="eastAsia" w:ascii="仿宋_GB2312" w:eastAsia="仿宋_GB2312"/>
          <w:sz w:val="32"/>
          <w:szCs w:val="32"/>
          <w:lang w:val="en-US" w:eastAsia="zh-CN"/>
        </w:rPr>
        <w:t>日常</w:t>
      </w:r>
      <w:r>
        <w:rPr>
          <w:rFonts w:hint="eastAsia" w:ascii="仿宋_GB2312" w:eastAsia="仿宋_GB2312"/>
          <w:sz w:val="32"/>
          <w:szCs w:val="32"/>
        </w:rPr>
        <w:t>活动所发生的基本支出和</w:t>
      </w:r>
      <w:r>
        <w:rPr>
          <w:rFonts w:hint="eastAsia" w:ascii="仿宋_GB2312" w:eastAsia="仿宋_GB2312"/>
          <w:sz w:val="32"/>
          <w:szCs w:val="32"/>
          <w:lang w:val="en-US" w:eastAsia="zh-CN"/>
        </w:rPr>
        <w:t>聘请专家排查隐患经费、灾害救助及工作经费</w:t>
      </w:r>
      <w:r>
        <w:rPr>
          <w:rFonts w:hint="eastAsia" w:ascii="仿宋_GB2312" w:eastAsia="仿宋_GB2312"/>
          <w:sz w:val="32"/>
          <w:szCs w:val="32"/>
        </w:rPr>
        <w:t>专项业务支出。比2020年预算净</w:t>
      </w:r>
      <w:r>
        <w:rPr>
          <w:rFonts w:hint="eastAsia" w:ascii="仿宋_GB2312" w:eastAsia="仿宋_GB2312"/>
          <w:b/>
          <w:bCs/>
          <w:sz w:val="32"/>
          <w:szCs w:val="32"/>
        </w:rPr>
        <w:t>增加</w:t>
      </w:r>
      <w:r>
        <w:rPr>
          <w:rFonts w:hint="eastAsia" w:ascii="仿宋_GB2312" w:eastAsia="仿宋_GB2312"/>
          <w:b/>
          <w:bCs/>
          <w:sz w:val="32"/>
          <w:szCs w:val="32"/>
          <w:lang w:val="en-US" w:eastAsia="zh-CN"/>
        </w:rPr>
        <w:t>91.14</w:t>
      </w:r>
      <w:r>
        <w:rPr>
          <w:rFonts w:hint="eastAsia" w:ascii="仿宋_GB2312" w:eastAsia="仿宋_GB2312"/>
          <w:b/>
          <w:bCs/>
          <w:sz w:val="32"/>
          <w:szCs w:val="32"/>
        </w:rPr>
        <w:t>万元</w:t>
      </w:r>
      <w:r>
        <w:rPr>
          <w:rFonts w:hint="eastAsia" w:ascii="仿宋_GB2312" w:eastAsia="仿宋_GB2312"/>
          <w:sz w:val="32"/>
          <w:szCs w:val="32"/>
        </w:rPr>
        <w:t>，</w:t>
      </w:r>
      <w:r>
        <w:rPr>
          <w:rFonts w:hint="eastAsia" w:ascii="仿宋_GB2312" w:eastAsia="仿宋_GB2312"/>
          <w:sz w:val="32"/>
          <w:szCs w:val="32"/>
          <w:lang w:val="en-US" w:eastAsia="zh-CN"/>
        </w:rPr>
        <w:t>上升14.6%</w:t>
      </w:r>
      <w:r>
        <w:rPr>
          <w:rFonts w:hint="eastAsia" w:ascii="仿宋_GB2312" w:eastAsia="仿宋_GB2312"/>
          <w:sz w:val="32"/>
          <w:szCs w:val="32"/>
        </w:rPr>
        <w:t>。</w:t>
      </w:r>
    </w:p>
    <w:p>
      <w:pPr>
        <w:pBdr>
          <w:bottom w:val="single" w:color="FFFFFF" w:sz="4" w:space="30"/>
        </w:pBdr>
        <w:snapToGrid w:val="0"/>
        <w:spacing w:line="580" w:lineRule="exact"/>
        <w:ind w:firstLine="640" w:firstLineChars="200"/>
        <w:rPr>
          <w:rFonts w:hint="eastAsia" w:ascii="仿宋_GB2312" w:eastAsia="仿宋_GB2312"/>
          <w:bCs/>
          <w:sz w:val="32"/>
          <w:lang w:eastAsia="zh-CN"/>
        </w:rPr>
      </w:pPr>
      <w:r>
        <w:rPr>
          <w:rFonts w:hint="eastAsia" w:ascii="仿宋_GB2312" w:eastAsia="仿宋_GB2312"/>
          <w:sz w:val="32"/>
          <w:szCs w:val="32"/>
        </w:rPr>
        <w:t>净增加的主要原因：</w:t>
      </w:r>
      <w:r>
        <w:rPr>
          <w:rFonts w:hint="eastAsia" w:ascii="仿宋_GB2312" w:eastAsia="仿宋_GB2312"/>
          <w:bCs/>
          <w:sz w:val="32"/>
        </w:rPr>
        <w:t>上年结转结余专项资金</w:t>
      </w:r>
      <w:r>
        <w:rPr>
          <w:rFonts w:hint="eastAsia" w:ascii="仿宋_GB2312" w:eastAsia="仿宋_GB2312"/>
          <w:bCs/>
          <w:sz w:val="32"/>
          <w:lang w:val="en-US" w:eastAsia="zh-CN"/>
        </w:rPr>
        <w:t>99.38万元</w:t>
      </w:r>
      <w:r>
        <w:rPr>
          <w:rFonts w:hint="eastAsia" w:ascii="仿宋_GB2312" w:eastAsia="仿宋_GB2312"/>
          <w:bCs/>
          <w:sz w:val="32"/>
          <w:lang w:eastAsia="zh-CN"/>
        </w:rPr>
        <w:t>。</w:t>
      </w:r>
    </w:p>
    <w:p>
      <w:pPr>
        <w:pBdr>
          <w:bottom w:val="single" w:color="FFFFFF" w:sz="4" w:space="30"/>
        </w:pBdr>
        <w:snapToGrid w:val="0"/>
        <w:spacing w:line="580" w:lineRule="exact"/>
        <w:ind w:firstLine="640" w:firstLineChars="200"/>
        <w:rPr>
          <w:rFonts w:hint="eastAsia" w:ascii="仿宋_GB2312" w:eastAsia="仿宋_GB2312"/>
          <w:bCs/>
          <w:sz w:val="32"/>
          <w:lang w:eastAsia="zh-CN"/>
        </w:rPr>
      </w:pPr>
      <w:r>
        <w:rPr>
          <w:rFonts w:hint="eastAsia" w:ascii="仿宋_GB2312" w:eastAsia="仿宋_GB2312"/>
          <w:bCs/>
          <w:sz w:val="32"/>
          <w:lang w:eastAsia="zh-CN"/>
        </w:rPr>
        <w:drawing>
          <wp:anchor distT="0" distB="0" distL="114300" distR="114300" simplePos="0" relativeHeight="251660288" behindDoc="1" locked="0" layoutInCell="1" allowOverlap="1">
            <wp:simplePos x="0" y="0"/>
            <wp:positionH relativeFrom="column">
              <wp:posOffset>-8255</wp:posOffset>
            </wp:positionH>
            <wp:positionV relativeFrom="paragraph">
              <wp:posOffset>292100</wp:posOffset>
            </wp:positionV>
            <wp:extent cx="5080000" cy="3810000"/>
            <wp:effectExtent l="4445" t="4445" r="20955" b="14605"/>
            <wp:wrapTight wrapText="bothSides">
              <wp:wrapPolygon>
                <wp:start x="-19" y="-25"/>
                <wp:lineTo x="-19" y="21575"/>
                <wp:lineTo x="21527" y="21575"/>
                <wp:lineTo x="21527" y="-25"/>
                <wp:lineTo x="-19" y="-25"/>
              </wp:wrapPolygon>
            </wp:wrapTight>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pPr>
        <w:pStyle w:val="2"/>
        <w:spacing w:line="560" w:lineRule="exact"/>
        <w:rPr>
          <w:rFonts w:hint="eastAsia" w:ascii="仿宋_GB2312" w:eastAsia="仿宋_GB2312"/>
          <w:sz w:val="32"/>
          <w:szCs w:val="32"/>
        </w:rPr>
      </w:pPr>
    </w:p>
    <w:p>
      <w:pPr>
        <w:widowControl/>
        <w:spacing w:before="156" w:beforeLines="50" w:after="156" w:afterLines="50" w:line="360" w:lineRule="auto"/>
        <w:jc w:val="left"/>
        <w:rPr>
          <w:rFonts w:hint="eastAsia" w:ascii="仿宋" w:hAnsi="仿宋" w:eastAsia="仿宋" w:cs="仿宋"/>
          <w:b/>
          <w:sz w:val="32"/>
          <w:szCs w:val="32"/>
        </w:rPr>
      </w:pPr>
    </w:p>
    <w:p>
      <w:pPr>
        <w:widowControl/>
        <w:spacing w:before="156" w:beforeLines="50" w:after="156" w:afterLines="50" w:line="360" w:lineRule="auto"/>
        <w:ind w:firstLine="630" w:firstLineChars="196"/>
        <w:jc w:val="left"/>
        <w:rPr>
          <w:rFonts w:hint="eastAsia" w:ascii="楷体_GB2312" w:hAnsi="仿宋" w:eastAsia="楷体_GB2312" w:cs="仿宋"/>
          <w:b/>
          <w:sz w:val="32"/>
          <w:szCs w:val="32"/>
        </w:rPr>
      </w:pPr>
      <w:r>
        <w:rPr>
          <w:rFonts w:hint="eastAsia" w:ascii="楷体_GB2312" w:hAnsi="仿宋" w:eastAsia="楷体_GB2312" w:cs="仿宋"/>
          <w:b/>
          <w:sz w:val="32"/>
          <w:szCs w:val="32"/>
        </w:rPr>
        <w:t>（一）2021年部门预算收入情况说明</w:t>
      </w:r>
    </w:p>
    <w:p>
      <w:pPr>
        <w:widowControl/>
        <w:spacing w:line="360" w:lineRule="auto"/>
        <w:ind w:firstLine="630"/>
        <w:rPr>
          <w:rFonts w:hint="eastAsia" w:ascii="仿宋_GB2312" w:eastAsia="仿宋_GB2312"/>
          <w:sz w:val="32"/>
          <w:szCs w:val="32"/>
        </w:rPr>
      </w:pPr>
      <w:r>
        <w:rPr>
          <w:rFonts w:hint="eastAsia" w:ascii="仿宋_GB2312" w:hAnsi="宋体" w:eastAsia="仿宋_GB2312"/>
          <w:bCs/>
          <w:sz w:val="32"/>
          <w:szCs w:val="32"/>
          <w:lang w:eastAsia="zh-CN"/>
        </w:rPr>
        <w:t>乌拉特后旗应急管理局</w:t>
      </w:r>
      <w:r>
        <w:rPr>
          <w:rFonts w:hint="eastAsia" w:ascii="仿宋_GB2312" w:hAnsi="宋体" w:eastAsia="仿宋_GB2312"/>
          <w:bCs/>
          <w:sz w:val="32"/>
          <w:szCs w:val="32"/>
        </w:rPr>
        <w:t>2021年部门预算总收入</w:t>
      </w:r>
      <w:r>
        <w:rPr>
          <w:rFonts w:hint="eastAsia" w:ascii="仿宋_GB2312" w:hAnsi="宋体" w:eastAsia="仿宋_GB2312" w:cs="宋体"/>
          <w:kern w:val="0"/>
          <w:sz w:val="32"/>
          <w:szCs w:val="32"/>
          <w:lang w:val="en-US" w:eastAsia="zh-CN"/>
        </w:rPr>
        <w:t>714.74</w:t>
      </w:r>
      <w:r>
        <w:rPr>
          <w:rFonts w:hint="eastAsia" w:ascii="仿宋_GB2312" w:eastAsia="仿宋_GB2312"/>
          <w:sz w:val="32"/>
          <w:szCs w:val="32"/>
        </w:rPr>
        <w:t>万元；其中一般公共预算</w:t>
      </w:r>
      <w:r>
        <w:rPr>
          <w:rFonts w:hint="eastAsia" w:ascii="仿宋_GB2312" w:hAnsi="宋体" w:eastAsia="仿宋_GB2312" w:cs="宋体"/>
          <w:kern w:val="0"/>
          <w:sz w:val="32"/>
          <w:szCs w:val="32"/>
        </w:rPr>
        <w:t>拨款收入</w:t>
      </w:r>
      <w:r>
        <w:rPr>
          <w:rFonts w:hint="eastAsia" w:ascii="仿宋_GB2312" w:hAnsi="宋体" w:eastAsia="仿宋_GB2312" w:cs="宋体"/>
          <w:kern w:val="0"/>
          <w:sz w:val="32"/>
          <w:szCs w:val="32"/>
          <w:lang w:val="en-US" w:eastAsia="zh-CN"/>
        </w:rPr>
        <w:t>607.29</w:t>
      </w:r>
      <w:r>
        <w:rPr>
          <w:rFonts w:hint="eastAsia" w:ascii="仿宋_GB2312" w:hAnsi="宋体" w:eastAsia="仿宋_GB2312" w:cs="宋体"/>
          <w:kern w:val="0"/>
          <w:sz w:val="32"/>
          <w:szCs w:val="32"/>
        </w:rPr>
        <w:t>万元；</w:t>
      </w:r>
      <w:r>
        <w:rPr>
          <w:rFonts w:hint="eastAsia" w:ascii="仿宋_GB2312" w:eastAsia="仿宋_GB2312"/>
          <w:sz w:val="32"/>
          <w:szCs w:val="32"/>
        </w:rPr>
        <w:t>政府性基金预算拨款收入0.00万元；国有资本经营预算拨款收入0.00万元；财政专户管理资金收入0.00万元；单位资金收入</w:t>
      </w:r>
      <w:r>
        <w:rPr>
          <w:rFonts w:hint="eastAsia" w:ascii="仿宋_GB2312" w:eastAsia="仿宋_GB2312"/>
          <w:sz w:val="32"/>
          <w:szCs w:val="32"/>
          <w:lang w:val="en-US" w:eastAsia="zh-CN"/>
        </w:rPr>
        <w:t>0</w:t>
      </w:r>
      <w:r>
        <w:rPr>
          <w:rFonts w:hint="eastAsia" w:ascii="仿宋_GB2312" w:eastAsia="仿宋_GB2312"/>
          <w:sz w:val="32"/>
          <w:szCs w:val="32"/>
        </w:rPr>
        <w:t>万元，其中：事业收入0.00万元，事业单位经营收入0.00万元，</w:t>
      </w:r>
      <w:r>
        <w:rPr>
          <w:rFonts w:hint="eastAsia" w:ascii="仿宋_GB2312" w:hAnsi="宋体" w:eastAsia="仿宋_GB2312" w:cs="宋体"/>
          <w:kern w:val="0"/>
          <w:sz w:val="32"/>
          <w:szCs w:val="32"/>
        </w:rPr>
        <w:t>其他收入</w:t>
      </w:r>
      <w:r>
        <w:rPr>
          <w:rFonts w:hint="eastAsia" w:ascii="仿宋_GB2312" w:hAnsi="宋体" w:eastAsia="仿宋_GB2312" w:cs="宋体"/>
          <w:kern w:val="0"/>
          <w:sz w:val="32"/>
          <w:szCs w:val="32"/>
          <w:lang w:val="en-US" w:eastAsia="zh-CN"/>
        </w:rPr>
        <w:t>0</w:t>
      </w:r>
      <w:r>
        <w:rPr>
          <w:rFonts w:hint="eastAsia" w:ascii="仿宋_GB2312" w:hAnsi="宋体" w:eastAsia="仿宋_GB2312" w:cs="宋体"/>
          <w:kern w:val="0"/>
          <w:sz w:val="32"/>
          <w:szCs w:val="32"/>
        </w:rPr>
        <w:t>万元；上年结转结余</w:t>
      </w:r>
      <w:r>
        <w:rPr>
          <w:rFonts w:hint="eastAsia" w:ascii="仿宋_GB2312" w:eastAsia="仿宋_GB2312"/>
          <w:sz w:val="32"/>
          <w:szCs w:val="32"/>
          <w:lang w:val="en-US" w:eastAsia="zh-CN"/>
        </w:rPr>
        <w:t>107.45</w:t>
      </w:r>
      <w:r>
        <w:rPr>
          <w:rFonts w:hint="eastAsia" w:ascii="仿宋_GB2312" w:hAnsi="宋体" w:eastAsia="仿宋_GB2312" w:cs="宋体"/>
          <w:kern w:val="0"/>
          <w:sz w:val="32"/>
          <w:szCs w:val="32"/>
        </w:rPr>
        <w:t>万元，其中：</w:t>
      </w:r>
      <w:r>
        <w:rPr>
          <w:rFonts w:hint="eastAsia" w:ascii="仿宋_GB2312" w:eastAsia="仿宋_GB2312"/>
          <w:sz w:val="32"/>
          <w:szCs w:val="32"/>
        </w:rPr>
        <w:t>上年结转支出</w:t>
      </w:r>
      <w:r>
        <w:rPr>
          <w:rFonts w:hint="eastAsia" w:ascii="仿宋_GB2312" w:eastAsia="仿宋_GB2312"/>
          <w:sz w:val="32"/>
          <w:szCs w:val="32"/>
          <w:lang w:val="en-US" w:eastAsia="zh-CN"/>
        </w:rPr>
        <w:t>107.45</w:t>
      </w:r>
      <w:r>
        <w:rPr>
          <w:rFonts w:hint="eastAsia" w:ascii="仿宋_GB2312" w:eastAsia="仿宋_GB2312"/>
          <w:sz w:val="32"/>
          <w:szCs w:val="32"/>
        </w:rPr>
        <w:t>万元，年终结转结余</w:t>
      </w:r>
      <w:r>
        <w:rPr>
          <w:rFonts w:hint="eastAsia" w:ascii="仿宋_GB2312" w:eastAsia="仿宋_GB2312"/>
          <w:sz w:val="32"/>
          <w:szCs w:val="32"/>
          <w:lang w:val="en-US" w:eastAsia="zh-CN"/>
        </w:rPr>
        <w:t>0</w:t>
      </w:r>
      <w:r>
        <w:rPr>
          <w:rFonts w:hint="eastAsia" w:ascii="仿宋_GB2312" w:eastAsia="仿宋_GB2312"/>
          <w:sz w:val="32"/>
          <w:szCs w:val="32"/>
        </w:rPr>
        <w:t>万元。</w:t>
      </w:r>
    </w:p>
    <w:p>
      <w:pPr>
        <w:widowControl/>
        <w:spacing w:line="360" w:lineRule="auto"/>
        <w:jc w:val="center"/>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lang w:eastAsia="zh-CN"/>
        </w:rPr>
        <w:drawing>
          <wp:inline distT="0" distB="0" distL="114300" distR="114300">
            <wp:extent cx="5080000" cy="3810000"/>
            <wp:effectExtent l="4445" t="4445" r="20955" b="1460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widowControl/>
        <w:spacing w:line="360" w:lineRule="auto"/>
        <w:jc w:val="center"/>
        <w:rPr>
          <w:rFonts w:hint="eastAsia" w:ascii="方正小标宋简体" w:hAnsi="宋体" w:eastAsia="方正小标宋简体"/>
          <w:bCs/>
          <w:sz w:val="32"/>
          <w:szCs w:val="32"/>
        </w:rPr>
      </w:pPr>
    </w:p>
    <w:p>
      <w:pPr>
        <w:widowControl/>
        <w:spacing w:line="360" w:lineRule="auto"/>
        <w:jc w:val="center"/>
        <w:rPr>
          <w:rFonts w:hint="eastAsia" w:ascii="方正小标宋简体" w:hAnsi="宋体" w:eastAsia="方正小标宋简体"/>
          <w:bCs/>
          <w:sz w:val="32"/>
          <w:szCs w:val="32"/>
        </w:rPr>
      </w:pPr>
    </w:p>
    <w:p>
      <w:pPr>
        <w:widowControl/>
        <w:spacing w:line="360" w:lineRule="auto"/>
        <w:jc w:val="center"/>
        <w:rPr>
          <w:rFonts w:hint="eastAsia" w:ascii="方正小标宋简体" w:hAnsi="宋体" w:eastAsia="方正小标宋简体"/>
          <w:bCs/>
          <w:sz w:val="32"/>
          <w:szCs w:val="32"/>
        </w:rPr>
      </w:pPr>
    </w:p>
    <w:p>
      <w:pPr>
        <w:widowControl/>
        <w:spacing w:line="360" w:lineRule="auto"/>
        <w:jc w:val="both"/>
        <w:rPr>
          <w:rFonts w:hint="eastAsia" w:ascii="方正小标宋简体" w:hAnsi="宋体" w:eastAsia="方正小标宋简体"/>
          <w:bCs/>
          <w:sz w:val="32"/>
          <w:szCs w:val="32"/>
        </w:rPr>
      </w:pPr>
    </w:p>
    <w:p>
      <w:pPr>
        <w:widowControl/>
        <w:spacing w:before="156" w:beforeLines="50" w:after="156" w:afterLines="50" w:line="360" w:lineRule="auto"/>
        <w:ind w:firstLine="630" w:firstLineChars="196"/>
        <w:jc w:val="left"/>
        <w:rPr>
          <w:rFonts w:hint="eastAsia" w:ascii="楷体_GB2312" w:hAnsi="仿宋" w:eastAsia="楷体_GB2312" w:cs="仿宋"/>
          <w:b/>
          <w:sz w:val="32"/>
          <w:szCs w:val="32"/>
        </w:rPr>
      </w:pPr>
      <w:r>
        <w:rPr>
          <w:rFonts w:hint="eastAsia" w:ascii="楷体_GB2312" w:hAnsi="仿宋" w:eastAsia="楷体_GB2312" w:cs="仿宋"/>
          <w:b/>
          <w:sz w:val="32"/>
          <w:szCs w:val="32"/>
        </w:rPr>
        <w:t>（二）2021年部门预算支出情况说明</w:t>
      </w:r>
    </w:p>
    <w:p>
      <w:pPr>
        <w:widowControl/>
        <w:spacing w:line="360" w:lineRule="auto"/>
        <w:ind w:firstLine="630"/>
        <w:jc w:val="left"/>
        <w:rPr>
          <w:rFonts w:hint="eastAsia" w:ascii="仿宋_GB2312" w:eastAsia="仿宋_GB2312"/>
          <w:spacing w:val="-10"/>
          <w:sz w:val="32"/>
          <w:szCs w:val="32"/>
        </w:rPr>
      </w:pPr>
      <w:r>
        <w:rPr>
          <w:rFonts w:hint="eastAsia" w:ascii="仿宋_GB2312" w:eastAsia="仿宋_GB2312"/>
          <w:spacing w:val="-10"/>
          <w:sz w:val="32"/>
          <w:szCs w:val="32"/>
        </w:rPr>
        <w:t>2021年部门预算总支出为</w:t>
      </w:r>
      <w:r>
        <w:rPr>
          <w:rFonts w:hint="eastAsia" w:ascii="仿宋_GB2312" w:hAnsi="宋体" w:eastAsia="仿宋_GB2312" w:cs="宋体"/>
          <w:kern w:val="0"/>
          <w:sz w:val="32"/>
          <w:szCs w:val="32"/>
          <w:lang w:val="en-US" w:eastAsia="zh-CN"/>
        </w:rPr>
        <w:t>714.74</w:t>
      </w:r>
      <w:r>
        <w:rPr>
          <w:rFonts w:hint="eastAsia" w:ascii="仿宋_GB2312" w:eastAsia="仿宋_GB2312"/>
          <w:spacing w:val="-10"/>
          <w:sz w:val="32"/>
          <w:szCs w:val="32"/>
        </w:rPr>
        <w:t>万元，其中基本支出</w:t>
      </w:r>
      <w:r>
        <w:rPr>
          <w:rFonts w:hint="eastAsia" w:ascii="仿宋_GB2312" w:eastAsia="仿宋_GB2312"/>
          <w:spacing w:val="-10"/>
          <w:sz w:val="32"/>
          <w:szCs w:val="32"/>
          <w:lang w:val="en-US" w:eastAsia="zh-CN"/>
        </w:rPr>
        <w:t>541.79</w:t>
      </w:r>
      <w:r>
        <w:rPr>
          <w:rFonts w:hint="eastAsia" w:ascii="仿宋_GB2312" w:eastAsia="仿宋_GB2312"/>
          <w:spacing w:val="-10"/>
          <w:sz w:val="32"/>
          <w:szCs w:val="32"/>
        </w:rPr>
        <w:t>万元</w:t>
      </w:r>
      <w:r>
        <w:rPr>
          <w:rFonts w:hint="eastAsia" w:ascii="仿宋_GB2312" w:eastAsia="仿宋_GB2312"/>
          <w:bCs/>
          <w:spacing w:val="-10"/>
          <w:sz w:val="32"/>
          <w:szCs w:val="32"/>
        </w:rPr>
        <w:t>；</w:t>
      </w:r>
      <w:r>
        <w:rPr>
          <w:rFonts w:hint="eastAsia" w:ascii="仿宋_GB2312" w:eastAsia="仿宋_GB2312"/>
          <w:spacing w:val="-10"/>
          <w:sz w:val="32"/>
          <w:szCs w:val="32"/>
        </w:rPr>
        <w:t>项目支出</w:t>
      </w:r>
      <w:r>
        <w:rPr>
          <w:rFonts w:hint="eastAsia" w:ascii="仿宋_GB2312" w:eastAsia="仿宋_GB2312"/>
          <w:spacing w:val="-10"/>
          <w:sz w:val="32"/>
          <w:szCs w:val="32"/>
          <w:lang w:val="en-US" w:eastAsia="zh-CN"/>
        </w:rPr>
        <w:t>65.5</w:t>
      </w:r>
      <w:r>
        <w:rPr>
          <w:rFonts w:hint="eastAsia" w:ascii="仿宋_GB2312" w:eastAsia="仿宋_GB2312"/>
          <w:spacing w:val="-10"/>
          <w:sz w:val="32"/>
          <w:szCs w:val="32"/>
        </w:rPr>
        <w:t>万元。年终结转结余</w:t>
      </w:r>
      <w:r>
        <w:rPr>
          <w:rFonts w:hint="eastAsia" w:ascii="仿宋_GB2312" w:eastAsia="仿宋_GB2312"/>
          <w:spacing w:val="-10"/>
          <w:sz w:val="32"/>
          <w:szCs w:val="32"/>
          <w:lang w:val="en-US" w:eastAsia="zh-CN"/>
        </w:rPr>
        <w:t>107.45</w:t>
      </w:r>
      <w:r>
        <w:rPr>
          <w:rFonts w:hint="eastAsia" w:ascii="仿宋_GB2312" w:eastAsia="仿宋_GB2312"/>
          <w:spacing w:val="-10"/>
          <w:sz w:val="32"/>
          <w:szCs w:val="32"/>
        </w:rPr>
        <w:t>万元。</w:t>
      </w:r>
    </w:p>
    <w:p>
      <w:pPr>
        <w:widowControl/>
        <w:spacing w:line="360" w:lineRule="auto"/>
        <w:ind w:firstLine="630"/>
        <w:jc w:val="left"/>
        <w:rPr>
          <w:rFonts w:hint="eastAsia" w:ascii="仿宋_GB2312" w:eastAsia="仿宋_GB2312"/>
          <w:color w:val="FF0000"/>
          <w:sz w:val="32"/>
          <w:szCs w:val="32"/>
        </w:rPr>
      </w:pPr>
      <w:r>
        <w:rPr>
          <w:rFonts w:ascii="仿宋_GB2312" w:eastAsia="仿宋_GB2312"/>
          <w:sz w:val="32"/>
          <w:szCs w:val="32"/>
        </w:rPr>
        <w:object>
          <v:shape id="_x0000_i1025" o:spt="75" type="#_x0000_t75" style="height:250.2pt;width:324.7pt;" o:ole="t" filled="f" o:preferrelative="t" stroked="f" coordsize="21600,21600">
            <v:path/>
            <v:fill on="f" focussize="0,0"/>
            <v:stroke on="f"/>
            <v:imagedata r:id="rId10" o:title=""/>
            <o:lock v:ext="edit" aspectratio="t"/>
            <w10:wrap type="none"/>
            <w10:anchorlock/>
          </v:shape>
          <o:OLEObject Type="Embed" ProgID="MSGraph.Chart.8" ShapeID="_x0000_i1025" DrawAspect="Content" ObjectID="_1468075725" r:id="rId9">
            <o:LockedField>false</o:LockedField>
          </o:OLEObject>
        </w:object>
      </w:r>
    </w:p>
    <w:p>
      <w:pPr>
        <w:widowControl/>
        <w:spacing w:line="360" w:lineRule="auto"/>
        <w:ind w:firstLine="640" w:firstLineChars="200"/>
        <w:jc w:val="left"/>
        <w:rPr>
          <w:rFonts w:hint="eastAsia" w:ascii="黑体" w:hAnsi="黑体" w:eastAsia="黑体" w:cs="黑体"/>
          <w:bCs/>
          <w:sz w:val="32"/>
          <w:szCs w:val="32"/>
        </w:rPr>
      </w:pPr>
      <w:r>
        <w:rPr>
          <w:rFonts w:hint="eastAsia" w:ascii="黑体" w:hAnsi="黑体" w:eastAsia="黑体" w:cs="黑体"/>
          <w:bCs/>
          <w:sz w:val="32"/>
          <w:szCs w:val="32"/>
        </w:rPr>
        <w:t>二、2021年一般公共预算拨款收支情况说明</w:t>
      </w:r>
    </w:p>
    <w:p>
      <w:pPr>
        <w:widowControl/>
        <w:numPr>
          <w:ilvl w:val="0"/>
          <w:numId w:val="2"/>
        </w:numPr>
        <w:spacing w:line="360" w:lineRule="auto"/>
        <w:ind w:firstLine="643" w:firstLineChars="200"/>
        <w:rPr>
          <w:rFonts w:hint="eastAsia" w:ascii="楷体_GB2312" w:hAnsi="宋体" w:eastAsia="楷体_GB2312"/>
          <w:b/>
          <w:sz w:val="32"/>
          <w:szCs w:val="32"/>
        </w:rPr>
      </w:pPr>
      <w:r>
        <w:rPr>
          <w:rFonts w:hint="eastAsia" w:ascii="楷体_GB2312" w:hAnsi="宋体" w:eastAsia="楷体_GB2312"/>
          <w:b/>
          <w:sz w:val="32"/>
          <w:szCs w:val="32"/>
        </w:rPr>
        <w:t>财政拨款规模情况</w:t>
      </w:r>
    </w:p>
    <w:p>
      <w:pPr>
        <w:widowControl/>
        <w:spacing w:line="360" w:lineRule="auto"/>
        <w:ind w:firstLine="643" w:firstLineChars="200"/>
        <w:rPr>
          <w:rFonts w:hint="eastAsia" w:ascii="仿宋_GB2312" w:hAnsi="宋体" w:eastAsia="仿宋_GB2312"/>
          <w:bCs/>
          <w:sz w:val="32"/>
          <w:szCs w:val="32"/>
        </w:rPr>
      </w:pPr>
      <w:r>
        <w:rPr>
          <w:rFonts w:hint="eastAsia" w:ascii="仿宋_GB2312" w:hAnsi="宋体" w:eastAsia="仿宋_GB2312"/>
          <w:b/>
          <w:bCs/>
          <w:sz w:val="32"/>
          <w:szCs w:val="32"/>
        </w:rPr>
        <w:pict>
          <v:shape id="_x0000_s2060" o:spid="_x0000_s2060" o:spt="75" type="#_x0000_t75" style="position:absolute;left:0pt;margin-left:65.45pt;margin-top:98.9pt;height:173.75pt;width:367.45pt;mso-wrap-distance-bottom:0pt;mso-wrap-distance-left:9pt;mso-wrap-distance-right:9pt;mso-wrap-distance-top:0pt;z-index:251659264;mso-width-relative:page;mso-height-relative:page;" o:ole="t" filled="f" o:preferrelative="t" stroked="f" coordsize="21600,21600">
            <v:path/>
            <v:fill on="f" focussize="0,0"/>
            <v:stroke on="f"/>
            <v:imagedata r:id="rId12" gain="74473f" blacklevel="-3930f" o:title=""/>
            <o:lock v:ext="edit" aspectratio="t"/>
            <w10:wrap type="square" side="right"/>
          </v:shape>
          <o:OLEObject Type="Embed" ProgID="MSGraph.Chart.8" ShapeID="_x0000_s2060" DrawAspect="Content" ObjectID="_1468075726" r:id="rId11">
            <o:LockedField>false</o:LockedField>
          </o:OLEObject>
        </w:pict>
      </w:r>
      <w:r>
        <w:rPr>
          <w:rFonts w:hint="eastAsia" w:ascii="仿宋_GB2312" w:hAnsi="宋体" w:eastAsia="仿宋_GB2312"/>
          <w:bCs/>
          <w:sz w:val="32"/>
          <w:szCs w:val="32"/>
          <w:lang w:eastAsia="zh-CN"/>
        </w:rPr>
        <w:t>乌拉特后旗应急管理局</w:t>
      </w:r>
      <w:r>
        <w:rPr>
          <w:rFonts w:hint="eastAsia" w:ascii="仿宋_GB2312" w:hAnsi="宋体" w:eastAsia="仿宋_GB2312"/>
          <w:bCs/>
          <w:sz w:val="32"/>
          <w:szCs w:val="32"/>
        </w:rPr>
        <w:t>2021年财政拨款收支总预算为</w:t>
      </w:r>
      <w:r>
        <w:rPr>
          <w:rFonts w:hint="eastAsia" w:ascii="仿宋_GB2312" w:hAnsi="宋体" w:eastAsia="仿宋_GB2312" w:cs="宋体"/>
          <w:kern w:val="0"/>
          <w:sz w:val="32"/>
          <w:szCs w:val="32"/>
          <w:lang w:val="en-US" w:eastAsia="zh-CN"/>
        </w:rPr>
        <w:t>714.74</w:t>
      </w:r>
      <w:r>
        <w:rPr>
          <w:rFonts w:hint="eastAsia" w:ascii="仿宋_GB2312" w:hAnsi="宋体" w:eastAsia="仿宋_GB2312"/>
          <w:bCs/>
          <w:sz w:val="32"/>
          <w:szCs w:val="32"/>
        </w:rPr>
        <w:t>万元，一般公共预算拨款收入数为</w:t>
      </w:r>
      <w:r>
        <w:rPr>
          <w:rFonts w:hint="eastAsia" w:ascii="仿宋_GB2312" w:hAnsi="宋体" w:eastAsia="仿宋_GB2312" w:cs="宋体"/>
          <w:kern w:val="0"/>
          <w:sz w:val="32"/>
          <w:szCs w:val="32"/>
          <w:lang w:val="en-US" w:eastAsia="zh-CN"/>
        </w:rPr>
        <w:t>607.29</w:t>
      </w:r>
      <w:r>
        <w:rPr>
          <w:rFonts w:hint="eastAsia" w:ascii="仿宋_GB2312" w:hAnsi="宋体" w:eastAsia="仿宋_GB2312"/>
          <w:bCs/>
          <w:sz w:val="32"/>
          <w:szCs w:val="32"/>
        </w:rPr>
        <w:t>万元，占比</w:t>
      </w:r>
      <w:r>
        <w:rPr>
          <w:rFonts w:hint="eastAsia" w:ascii="仿宋_GB2312" w:hAnsi="宋体" w:eastAsia="仿宋_GB2312"/>
          <w:bCs/>
          <w:sz w:val="32"/>
          <w:szCs w:val="32"/>
          <w:lang w:val="en-US" w:eastAsia="zh-CN"/>
        </w:rPr>
        <w:t>85</w:t>
      </w:r>
      <w:r>
        <w:rPr>
          <w:rFonts w:hint="eastAsia" w:ascii="仿宋_GB2312" w:hAnsi="宋体" w:eastAsia="仿宋_GB2312" w:cs="宋体"/>
          <w:kern w:val="0"/>
          <w:sz w:val="32"/>
          <w:szCs w:val="32"/>
        </w:rPr>
        <w:t>%</w:t>
      </w:r>
      <w:r>
        <w:rPr>
          <w:rFonts w:hint="eastAsia" w:ascii="仿宋_GB2312" w:hAnsi="宋体" w:eastAsia="仿宋_GB2312"/>
          <w:bCs/>
          <w:sz w:val="32"/>
          <w:szCs w:val="32"/>
        </w:rPr>
        <w:t>；上年结转</w:t>
      </w:r>
      <w:r>
        <w:rPr>
          <w:rFonts w:hint="eastAsia" w:ascii="仿宋_GB2312" w:eastAsia="仿宋_GB2312"/>
          <w:sz w:val="32"/>
          <w:szCs w:val="32"/>
        </w:rPr>
        <w:t>结余</w:t>
      </w:r>
      <w:r>
        <w:rPr>
          <w:rFonts w:hint="eastAsia" w:ascii="仿宋_GB2312" w:eastAsia="仿宋_GB2312"/>
          <w:sz w:val="32"/>
          <w:szCs w:val="32"/>
          <w:lang w:val="en-US" w:eastAsia="zh-CN"/>
        </w:rPr>
        <w:t>107.45</w:t>
      </w:r>
      <w:r>
        <w:rPr>
          <w:rFonts w:hint="eastAsia" w:ascii="仿宋_GB2312" w:eastAsia="仿宋_GB2312"/>
          <w:sz w:val="32"/>
          <w:szCs w:val="32"/>
        </w:rPr>
        <w:t>万元，占比</w:t>
      </w:r>
      <w:r>
        <w:rPr>
          <w:rFonts w:hint="eastAsia" w:ascii="仿宋_GB2312" w:eastAsia="仿宋_GB2312"/>
          <w:sz w:val="32"/>
          <w:szCs w:val="32"/>
          <w:lang w:val="en-US" w:eastAsia="zh-CN"/>
        </w:rPr>
        <w:t>15</w:t>
      </w:r>
      <w:r>
        <w:rPr>
          <w:rFonts w:hint="eastAsia" w:ascii="仿宋_GB2312" w:eastAsia="仿宋_GB2312"/>
          <w:sz w:val="32"/>
          <w:szCs w:val="32"/>
        </w:rPr>
        <w:t>%。</w:t>
      </w:r>
    </w:p>
    <w:p>
      <w:pPr>
        <w:widowControl/>
        <w:numPr>
          <w:ilvl w:val="0"/>
          <w:numId w:val="0"/>
        </w:numPr>
        <w:spacing w:line="360" w:lineRule="auto"/>
        <w:ind w:firstLine="643" w:firstLineChars="200"/>
        <w:rPr>
          <w:rFonts w:hint="eastAsia" w:ascii="楷体_GB2312" w:hAnsi="宋体" w:eastAsia="楷体_GB2312"/>
          <w:b/>
          <w:sz w:val="32"/>
          <w:szCs w:val="32"/>
        </w:rPr>
      </w:pPr>
      <w:r>
        <w:rPr>
          <w:rFonts w:hint="eastAsia" w:ascii="楷体_GB2312" w:hAnsi="宋体" w:eastAsia="楷体_GB2312"/>
          <w:b/>
          <w:sz w:val="32"/>
          <w:szCs w:val="32"/>
          <w:lang w:eastAsia="zh-CN"/>
        </w:rPr>
        <w:t>（</w:t>
      </w:r>
      <w:r>
        <w:rPr>
          <w:rFonts w:hint="eastAsia" w:ascii="楷体_GB2312" w:hAnsi="宋体" w:eastAsia="楷体_GB2312"/>
          <w:b/>
          <w:sz w:val="32"/>
          <w:szCs w:val="32"/>
          <w:lang w:val="en-US" w:eastAsia="zh-CN"/>
        </w:rPr>
        <w:t>二</w:t>
      </w:r>
      <w:r>
        <w:rPr>
          <w:rFonts w:hint="eastAsia" w:ascii="楷体_GB2312" w:hAnsi="宋体" w:eastAsia="楷体_GB2312"/>
          <w:b/>
          <w:sz w:val="32"/>
          <w:szCs w:val="32"/>
          <w:lang w:eastAsia="zh-CN"/>
        </w:rPr>
        <w:t>）</w:t>
      </w:r>
      <w:r>
        <w:rPr>
          <w:rFonts w:hint="eastAsia" w:ascii="楷体_GB2312" w:hAnsi="宋体" w:eastAsia="楷体_GB2312"/>
          <w:b/>
          <w:sz w:val="32"/>
          <w:szCs w:val="32"/>
        </w:rPr>
        <w:t>财政拨款预算结构情况</w:t>
      </w:r>
    </w:p>
    <w:p>
      <w:pPr>
        <w:widowControl/>
        <w:spacing w:line="360" w:lineRule="auto"/>
        <w:ind w:firstLine="640" w:firstLineChars="200"/>
        <w:rPr>
          <w:rFonts w:hint="eastAsia" w:ascii="仿宋_GB2312" w:hAnsi="宋体" w:eastAsia="仿宋_GB2312"/>
          <w:bCs/>
          <w:sz w:val="32"/>
          <w:szCs w:val="32"/>
          <w:lang w:eastAsia="zh-CN"/>
        </w:rPr>
      </w:pPr>
      <w:r>
        <w:rPr>
          <w:rFonts w:hint="eastAsia" w:ascii="仿宋_GB2312" w:hAnsi="宋体" w:eastAsia="仿宋_GB2312"/>
          <w:bCs/>
          <w:sz w:val="32"/>
          <w:szCs w:val="32"/>
        </w:rPr>
        <w:t>2021年部门预算中，财政拨款支出数为</w:t>
      </w:r>
      <w:r>
        <w:rPr>
          <w:rFonts w:hint="eastAsia" w:ascii="仿宋_GB2312" w:hAnsi="宋体" w:eastAsia="仿宋_GB2312" w:cs="宋体"/>
          <w:kern w:val="0"/>
          <w:sz w:val="32"/>
          <w:szCs w:val="32"/>
          <w:lang w:val="en-US" w:eastAsia="zh-CN"/>
        </w:rPr>
        <w:t>714.74</w:t>
      </w:r>
      <w:r>
        <w:rPr>
          <w:rFonts w:hint="eastAsia" w:ascii="仿宋_GB2312" w:hAnsi="宋体" w:eastAsia="仿宋_GB2312"/>
          <w:bCs/>
          <w:sz w:val="32"/>
          <w:szCs w:val="32"/>
        </w:rPr>
        <w:t>万元，用于以下方面：</w:t>
      </w:r>
      <w:r>
        <w:rPr>
          <w:rFonts w:hint="eastAsia" w:ascii="仿宋_GB2312" w:hAnsi="宋体" w:eastAsia="仿宋_GB2312"/>
          <w:b/>
          <w:bCs/>
          <w:sz w:val="32"/>
          <w:szCs w:val="32"/>
        </w:rPr>
        <w:t>一般公共服务（类）</w:t>
      </w:r>
      <w:r>
        <w:rPr>
          <w:rFonts w:hint="eastAsia" w:ascii="仿宋_GB2312" w:hAnsi="宋体" w:eastAsia="仿宋_GB2312"/>
          <w:bCs/>
          <w:sz w:val="32"/>
          <w:szCs w:val="32"/>
        </w:rPr>
        <w:t>支出587.42万元，占支出的</w:t>
      </w:r>
      <w:r>
        <w:rPr>
          <w:rFonts w:hint="eastAsia" w:ascii="仿宋_GB2312" w:hAnsi="宋体" w:eastAsia="仿宋_GB2312"/>
          <w:bCs/>
          <w:sz w:val="32"/>
          <w:szCs w:val="32"/>
          <w:lang w:val="en-US" w:eastAsia="zh-CN"/>
        </w:rPr>
        <w:t>82</w:t>
      </w:r>
      <w:r>
        <w:rPr>
          <w:rFonts w:hint="eastAsia" w:ascii="仿宋_GB2312" w:hAnsi="宋体" w:eastAsia="仿宋_GB2312"/>
          <w:bCs/>
          <w:sz w:val="32"/>
          <w:szCs w:val="32"/>
        </w:rPr>
        <w:t>%；</w:t>
      </w:r>
      <w:r>
        <w:rPr>
          <w:rFonts w:hint="eastAsia" w:ascii="仿宋_GB2312" w:hAnsi="宋体" w:eastAsia="仿宋_GB2312"/>
          <w:b/>
          <w:bCs/>
          <w:sz w:val="32"/>
          <w:szCs w:val="32"/>
        </w:rPr>
        <w:t>社会保障和就业（类）</w:t>
      </w:r>
      <w:r>
        <w:rPr>
          <w:rFonts w:hint="eastAsia" w:ascii="仿宋_GB2312" w:hAnsi="宋体" w:eastAsia="仿宋_GB2312"/>
          <w:bCs/>
          <w:sz w:val="32"/>
          <w:szCs w:val="32"/>
        </w:rPr>
        <w:t>支出</w:t>
      </w:r>
      <w:r>
        <w:rPr>
          <w:rFonts w:hint="eastAsia" w:ascii="仿宋_GB2312" w:hAnsi="宋体" w:eastAsia="仿宋_GB2312"/>
          <w:bCs/>
          <w:sz w:val="32"/>
          <w:szCs w:val="32"/>
          <w:lang w:val="en-US" w:eastAsia="zh-CN"/>
        </w:rPr>
        <w:t>95.4</w:t>
      </w:r>
      <w:r>
        <w:rPr>
          <w:rFonts w:hint="eastAsia" w:ascii="仿宋_GB2312" w:hAnsi="宋体" w:eastAsia="仿宋_GB2312"/>
          <w:bCs/>
          <w:sz w:val="32"/>
          <w:szCs w:val="32"/>
        </w:rPr>
        <w:t>万元，占支出的</w:t>
      </w:r>
      <w:r>
        <w:rPr>
          <w:rFonts w:hint="eastAsia" w:ascii="仿宋_GB2312" w:hAnsi="宋体" w:eastAsia="仿宋_GB2312"/>
          <w:bCs/>
          <w:sz w:val="32"/>
          <w:szCs w:val="32"/>
          <w:lang w:val="en-US" w:eastAsia="zh-CN"/>
        </w:rPr>
        <w:t>13</w:t>
      </w:r>
      <w:r>
        <w:rPr>
          <w:rFonts w:hint="eastAsia" w:ascii="仿宋_GB2312" w:hAnsi="宋体" w:eastAsia="仿宋_GB2312"/>
          <w:bCs/>
          <w:sz w:val="32"/>
          <w:szCs w:val="32"/>
        </w:rPr>
        <w:t>%</w:t>
      </w:r>
      <w:r>
        <w:rPr>
          <w:rFonts w:hint="eastAsia" w:ascii="仿宋_GB2312" w:hAnsi="宋体" w:eastAsia="仿宋_GB2312"/>
          <w:bCs/>
          <w:sz w:val="32"/>
          <w:szCs w:val="32"/>
          <w:lang w:eastAsia="zh-CN"/>
        </w:rPr>
        <w:t>，</w:t>
      </w:r>
      <w:r>
        <w:rPr>
          <w:rFonts w:hint="eastAsia" w:ascii="仿宋_GB2312" w:hAnsi="宋体" w:eastAsia="仿宋_GB2312"/>
          <w:b/>
          <w:sz w:val="32"/>
          <w:szCs w:val="32"/>
        </w:rPr>
        <w:t>卫生健康（类）</w:t>
      </w:r>
      <w:r>
        <w:rPr>
          <w:rFonts w:hint="eastAsia" w:ascii="仿宋_GB2312" w:hAnsi="宋体" w:eastAsia="仿宋_GB2312"/>
          <w:sz w:val="32"/>
          <w:szCs w:val="32"/>
        </w:rPr>
        <w:t>支出</w:t>
      </w:r>
      <w:r>
        <w:rPr>
          <w:rFonts w:hint="eastAsia" w:ascii="仿宋_GB2312" w:hAnsi="宋体" w:eastAsia="仿宋_GB2312"/>
          <w:bCs/>
          <w:sz w:val="32"/>
          <w:szCs w:val="32"/>
          <w:lang w:val="en-US" w:eastAsia="zh-CN"/>
        </w:rPr>
        <w:t>31.92</w:t>
      </w:r>
      <w:r>
        <w:rPr>
          <w:rFonts w:hint="eastAsia" w:ascii="仿宋_GB2312" w:hAnsi="宋体" w:eastAsia="仿宋_GB2312"/>
          <w:bCs/>
          <w:sz w:val="32"/>
          <w:szCs w:val="32"/>
        </w:rPr>
        <w:t>万元，占支出的</w:t>
      </w:r>
      <w:r>
        <w:rPr>
          <w:rFonts w:hint="eastAsia" w:ascii="仿宋_GB2312" w:hAnsi="宋体" w:eastAsia="仿宋_GB2312"/>
          <w:bCs/>
          <w:sz w:val="32"/>
          <w:szCs w:val="32"/>
          <w:lang w:val="en-US" w:eastAsia="zh-CN"/>
        </w:rPr>
        <w:t>5</w:t>
      </w:r>
      <w:r>
        <w:rPr>
          <w:rFonts w:hint="eastAsia" w:ascii="仿宋_GB2312" w:hAnsi="宋体" w:eastAsia="仿宋_GB2312"/>
          <w:bCs/>
          <w:sz w:val="32"/>
          <w:szCs w:val="32"/>
        </w:rPr>
        <w:t>%；</w:t>
      </w:r>
    </w:p>
    <w:p>
      <w:pPr>
        <w:widowControl/>
        <w:spacing w:line="360" w:lineRule="auto"/>
        <w:jc w:val="left"/>
        <w:rPr>
          <w:rFonts w:hint="eastAsia" w:ascii="仿宋_GB2312" w:hAnsi="宋体" w:eastAsia="仿宋_GB2312" w:cs="宋体"/>
          <w:sz w:val="32"/>
          <w:szCs w:val="32"/>
        </w:rPr>
      </w:pPr>
      <w:r>
        <w:rPr>
          <w:rFonts w:hint="eastAsia" w:ascii="仿宋_GB2312" w:hAnsi="宋体" w:eastAsia="仿宋_GB2312"/>
          <w:bCs/>
          <w:sz w:val="32"/>
          <w:szCs w:val="32"/>
          <w:lang w:eastAsia="zh-CN"/>
        </w:rPr>
        <w:drawing>
          <wp:inline distT="0" distB="0" distL="114300" distR="114300">
            <wp:extent cx="5080000" cy="3810000"/>
            <wp:effectExtent l="4445" t="4445" r="20955" b="14605"/>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numPr>
          <w:ilvl w:val="0"/>
          <w:numId w:val="3"/>
        </w:numPr>
        <w:tabs>
          <w:tab w:val="left" w:pos="1380"/>
        </w:tabs>
        <w:ind w:firstLine="482" w:firstLineChars="150"/>
        <w:rPr>
          <w:rFonts w:hint="eastAsia" w:ascii="楷体_GB2312" w:hAnsi="宋体" w:eastAsia="楷体_GB2312" w:cs="宋体"/>
          <w:sz w:val="32"/>
          <w:szCs w:val="32"/>
        </w:rPr>
      </w:pPr>
      <w:r>
        <w:rPr>
          <w:rFonts w:hint="eastAsia" w:ascii="楷体_GB2312" w:hAnsi="宋体" w:eastAsia="楷体_GB2312"/>
          <w:b/>
          <w:bCs/>
          <w:sz w:val="32"/>
          <w:szCs w:val="32"/>
        </w:rPr>
        <w:t>一般公共预算拨款收入具体</w:t>
      </w:r>
      <w:r>
        <w:rPr>
          <w:rFonts w:hint="eastAsia" w:ascii="楷体_GB2312" w:hAnsi="宋体" w:eastAsia="楷体_GB2312" w:cs="宋体"/>
          <w:b/>
          <w:bCs/>
          <w:sz w:val="32"/>
          <w:szCs w:val="32"/>
        </w:rPr>
        <w:t>使用安排情况</w:t>
      </w:r>
    </w:p>
    <w:p>
      <w:pPr>
        <w:tabs>
          <w:tab w:val="left" w:pos="1380"/>
        </w:tabs>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2021年财政拨款预算数为</w:t>
      </w:r>
      <w:r>
        <w:rPr>
          <w:rFonts w:hint="eastAsia" w:ascii="仿宋_GB2312" w:hAnsi="宋体" w:eastAsia="仿宋_GB2312" w:cs="宋体"/>
          <w:sz w:val="32"/>
          <w:szCs w:val="32"/>
          <w:lang w:val="en-US" w:eastAsia="zh-CN"/>
        </w:rPr>
        <w:t>714.74</w:t>
      </w:r>
      <w:r>
        <w:rPr>
          <w:rFonts w:hint="eastAsia" w:ascii="仿宋_GB2312" w:hAnsi="宋体" w:eastAsia="仿宋_GB2312" w:cs="宋体"/>
          <w:sz w:val="32"/>
          <w:szCs w:val="32"/>
        </w:rPr>
        <w:t>万元，</w:t>
      </w:r>
      <w:r>
        <w:rPr>
          <w:rFonts w:hint="eastAsia" w:ascii="仿宋_GB2312" w:hAnsi="宋体" w:eastAsia="仿宋_GB2312" w:cs="宋体"/>
          <w:sz w:val="32"/>
          <w:szCs w:val="32"/>
          <w:lang w:val="en-US" w:eastAsia="zh-CN"/>
        </w:rPr>
        <w:t>上年结转结余专项107.45万元。</w:t>
      </w:r>
      <w:r>
        <w:rPr>
          <w:rFonts w:hint="eastAsia" w:ascii="仿宋_GB2312" w:hAnsi="宋体" w:eastAsia="仿宋_GB2312" w:cs="宋体"/>
          <w:sz w:val="32"/>
          <w:szCs w:val="32"/>
        </w:rPr>
        <w:t>比2020年财政拨款预算数</w:t>
      </w:r>
      <w:r>
        <w:rPr>
          <w:rFonts w:hint="eastAsia" w:ascii="仿宋_GB2312" w:hAnsi="宋体" w:eastAsia="仿宋_GB2312" w:cs="宋体"/>
          <w:sz w:val="32"/>
          <w:szCs w:val="32"/>
          <w:lang w:val="en-US" w:eastAsia="zh-CN"/>
        </w:rPr>
        <w:t>增加91.14</w:t>
      </w:r>
      <w:r>
        <w:rPr>
          <w:rFonts w:hint="eastAsia" w:ascii="仿宋_GB2312" w:hAnsi="宋体" w:eastAsia="仿宋_GB2312" w:cs="宋体"/>
          <w:sz w:val="32"/>
          <w:szCs w:val="32"/>
        </w:rPr>
        <w:t>万元，具体情况如下：</w:t>
      </w:r>
    </w:p>
    <w:p>
      <w:pPr>
        <w:tabs>
          <w:tab w:val="left" w:pos="1380"/>
        </w:tabs>
        <w:ind w:firstLine="643" w:firstLineChars="200"/>
        <w:rPr>
          <w:rFonts w:hint="eastAsia" w:ascii="仿宋_GB2312" w:hAnsi="宋体" w:eastAsia="仿宋_GB2312" w:cs="宋体"/>
          <w:sz w:val="32"/>
          <w:szCs w:val="32"/>
        </w:rPr>
      </w:pPr>
      <w:r>
        <w:rPr>
          <w:rFonts w:hint="eastAsia" w:ascii="仿宋_GB2312" w:hAnsi="宋体" w:eastAsia="仿宋_GB2312" w:cs="宋体"/>
          <w:b/>
          <w:bCs/>
          <w:sz w:val="32"/>
          <w:szCs w:val="32"/>
        </w:rPr>
        <w:t>1.一般公共服务类2021年财政拨款预算数为</w:t>
      </w:r>
      <w:r>
        <w:rPr>
          <w:rFonts w:hint="eastAsia" w:ascii="仿宋_GB2312" w:hAnsi="宋体" w:eastAsia="仿宋_GB2312"/>
          <w:b/>
          <w:bCs/>
          <w:sz w:val="32"/>
          <w:szCs w:val="32"/>
          <w:lang w:val="en-US" w:eastAsia="zh-CN"/>
        </w:rPr>
        <w:t>691.93</w:t>
      </w:r>
      <w:r>
        <w:rPr>
          <w:rFonts w:hint="eastAsia" w:ascii="仿宋_GB2312" w:hAnsi="宋体" w:eastAsia="仿宋_GB2312" w:cs="宋体"/>
          <w:b/>
          <w:bCs/>
          <w:sz w:val="32"/>
          <w:szCs w:val="32"/>
        </w:rPr>
        <w:t>万元</w:t>
      </w:r>
      <w:r>
        <w:rPr>
          <w:rFonts w:hint="eastAsia" w:ascii="仿宋_GB2312" w:hAnsi="宋体" w:eastAsia="仿宋_GB2312" w:cs="宋体"/>
          <w:sz w:val="32"/>
          <w:szCs w:val="32"/>
        </w:rPr>
        <w:t>，比上年</w:t>
      </w:r>
      <w:r>
        <w:rPr>
          <w:rFonts w:hint="eastAsia" w:ascii="仿宋_GB2312" w:hAnsi="宋体" w:eastAsia="仿宋_GB2312" w:cs="宋体"/>
          <w:b/>
          <w:bCs/>
          <w:sz w:val="32"/>
          <w:szCs w:val="32"/>
          <w:lang w:val="en-US" w:eastAsia="zh-CN"/>
        </w:rPr>
        <w:t>增加89.66</w:t>
      </w:r>
      <w:r>
        <w:rPr>
          <w:rFonts w:hint="eastAsia" w:ascii="仿宋_GB2312" w:hAnsi="宋体" w:eastAsia="仿宋_GB2312" w:cs="宋体"/>
          <w:sz w:val="32"/>
          <w:szCs w:val="32"/>
        </w:rPr>
        <w:t>万元。其中：</w:t>
      </w:r>
    </w:p>
    <w:p>
      <w:pPr>
        <w:pStyle w:val="2"/>
        <w:spacing w:line="560" w:lineRule="exact"/>
        <w:ind w:firstLine="643" w:firstLineChars="200"/>
        <w:rPr>
          <w:rFonts w:hint="eastAsia" w:ascii="仿宋_GB2312" w:eastAsia="仿宋_GB2312"/>
          <w:sz w:val="32"/>
          <w:szCs w:val="32"/>
        </w:rPr>
      </w:pPr>
      <w:r>
        <w:rPr>
          <w:rFonts w:hint="eastAsia" w:ascii="仿宋_GB2312" w:eastAsia="仿宋_GB2312"/>
          <w:b/>
          <w:sz w:val="32"/>
          <w:szCs w:val="32"/>
        </w:rPr>
        <w:t>(1)一般公共服务（类）应急管理事务（款）行政运行（项）：</w:t>
      </w:r>
      <w:r>
        <w:rPr>
          <w:rFonts w:hint="eastAsia" w:ascii="仿宋_GB2312" w:eastAsia="仿宋_GB2312"/>
          <w:sz w:val="32"/>
          <w:szCs w:val="32"/>
        </w:rPr>
        <w:t>2021年财政拨款预算数为</w:t>
      </w:r>
      <w:r>
        <w:rPr>
          <w:rFonts w:hint="eastAsia" w:ascii="仿宋_GB2312" w:eastAsia="仿宋_GB2312"/>
          <w:sz w:val="32"/>
          <w:szCs w:val="32"/>
          <w:lang w:val="en-US" w:eastAsia="zh-CN"/>
        </w:rPr>
        <w:t>507.25</w:t>
      </w:r>
      <w:r>
        <w:rPr>
          <w:rFonts w:hint="eastAsia" w:ascii="仿宋_GB2312" w:eastAsia="仿宋_GB2312"/>
          <w:sz w:val="32"/>
          <w:szCs w:val="32"/>
        </w:rPr>
        <w:t>万元。主要用于</w:t>
      </w:r>
      <w:r>
        <w:rPr>
          <w:rFonts w:hint="eastAsia" w:ascii="仿宋_GB2312" w:eastAsia="仿宋_GB2312"/>
          <w:sz w:val="32"/>
          <w:szCs w:val="32"/>
          <w:lang w:eastAsia="zh-CN"/>
        </w:rPr>
        <w:t>乌拉特后旗应急管理局</w:t>
      </w:r>
      <w:r>
        <w:rPr>
          <w:rFonts w:hint="eastAsia" w:ascii="仿宋_GB2312" w:eastAsia="仿宋_GB2312"/>
          <w:sz w:val="32"/>
          <w:szCs w:val="32"/>
        </w:rPr>
        <w:t>机关及参公事业单位在职人员基本工资、津贴补贴等人员经费以及机关运行经费支出，保障机构正常运行、开展日常工作。此项支出比2020年财政拨款预算数</w:t>
      </w:r>
      <w:r>
        <w:rPr>
          <w:rFonts w:hint="eastAsia" w:ascii="仿宋_GB2312" w:eastAsia="仿宋_GB2312"/>
          <w:b/>
          <w:bCs/>
          <w:sz w:val="32"/>
          <w:szCs w:val="32"/>
          <w:lang w:val="en-US" w:eastAsia="zh-CN"/>
        </w:rPr>
        <w:t>减少20.13</w:t>
      </w:r>
      <w:r>
        <w:rPr>
          <w:rFonts w:hint="eastAsia" w:ascii="仿宋_GB2312" w:eastAsia="仿宋_GB2312"/>
          <w:sz w:val="32"/>
          <w:szCs w:val="32"/>
        </w:rPr>
        <w:t>万元。</w:t>
      </w:r>
      <w:r>
        <w:rPr>
          <w:rFonts w:hint="eastAsia" w:ascii="仿宋_GB2312" w:eastAsia="仿宋_GB2312"/>
          <w:sz w:val="32"/>
          <w:szCs w:val="32"/>
          <w:lang w:val="en-US" w:eastAsia="zh-CN"/>
        </w:rPr>
        <w:t>退休人员部分工资社保局发放</w:t>
      </w:r>
      <w:r>
        <w:rPr>
          <w:rFonts w:hint="eastAsia" w:ascii="仿宋_GB2312" w:eastAsia="仿宋_GB2312"/>
          <w:sz w:val="32"/>
          <w:szCs w:val="32"/>
        </w:rPr>
        <w:t>。</w:t>
      </w:r>
    </w:p>
    <w:p>
      <w:pPr>
        <w:ind w:firstLine="643" w:firstLineChars="200"/>
        <w:rPr>
          <w:rFonts w:hint="eastAsia"/>
        </w:rPr>
      </w:pPr>
      <w:r>
        <w:rPr>
          <w:rFonts w:hint="eastAsia" w:ascii="仿宋_GB2312" w:hAnsi="仿宋_GB2312" w:eastAsia="仿宋_GB2312" w:cs="仿宋_GB2312"/>
          <w:b/>
          <w:bCs/>
          <w:sz w:val="32"/>
          <w:szCs w:val="32"/>
        </w:rPr>
        <w:t>(2)一般公共服务（类）</w:t>
      </w:r>
      <w:r>
        <w:rPr>
          <w:rFonts w:hint="eastAsia" w:ascii="仿宋_GB2312" w:eastAsia="仿宋_GB2312"/>
          <w:b/>
          <w:sz w:val="32"/>
          <w:szCs w:val="32"/>
        </w:rPr>
        <w:t>应急管理事务</w:t>
      </w:r>
      <w:r>
        <w:rPr>
          <w:rFonts w:hint="eastAsia" w:ascii="仿宋_GB2312" w:hAnsi="仿宋_GB2312" w:eastAsia="仿宋_GB2312" w:cs="仿宋_GB2312"/>
          <w:b/>
          <w:bCs/>
          <w:sz w:val="32"/>
          <w:szCs w:val="32"/>
        </w:rPr>
        <w:t>（款）一般行政管理事务（项）：</w:t>
      </w:r>
      <w:r>
        <w:rPr>
          <w:rFonts w:hint="eastAsia" w:ascii="仿宋_GB2312" w:hAnsi="仿宋_GB2312" w:eastAsia="仿宋_GB2312" w:cs="仿宋_GB2312"/>
          <w:sz w:val="32"/>
          <w:szCs w:val="32"/>
        </w:rPr>
        <w:t>2021年财政拨款预算数为</w:t>
      </w:r>
      <w:r>
        <w:rPr>
          <w:rFonts w:hint="eastAsia" w:ascii="仿宋_GB2312" w:hAnsi="仿宋_GB2312" w:eastAsia="仿宋_GB2312" w:cs="仿宋_GB2312"/>
          <w:sz w:val="32"/>
          <w:szCs w:val="32"/>
          <w:lang w:val="en-US" w:eastAsia="zh-CN"/>
        </w:rPr>
        <w:t>184.68</w:t>
      </w:r>
      <w:r>
        <w:rPr>
          <w:rFonts w:hint="eastAsia" w:ascii="仿宋_GB2312" w:hAnsi="仿宋_GB2312" w:eastAsia="仿宋_GB2312" w:cs="仿宋_GB2312"/>
          <w:sz w:val="32"/>
          <w:szCs w:val="32"/>
        </w:rPr>
        <w:t>万元。主要用于：一是维持机关办公运行经费，保障单位各项日常开支，保障工作正常开展。二是开展本单位干部培训工作，以提高业务水平，提升干部队伍的能力。三是办公楼及附属设施的运行维护工作，以保障办公场所稳定运行。此专项支出比2020年财政拨款预算数</w:t>
      </w:r>
      <w:r>
        <w:rPr>
          <w:rFonts w:hint="eastAsia" w:ascii="仿宋_GB2312" w:hAnsi="仿宋_GB2312" w:eastAsia="仿宋_GB2312" w:cs="仿宋_GB2312"/>
          <w:b/>
          <w:bCs/>
          <w:sz w:val="32"/>
          <w:szCs w:val="32"/>
          <w:lang w:val="en-US" w:eastAsia="zh-CN"/>
        </w:rPr>
        <w:t>增加109.79</w:t>
      </w:r>
      <w:r>
        <w:rPr>
          <w:rFonts w:hint="eastAsia" w:ascii="仿宋_GB2312" w:hAnsi="仿宋_GB2312" w:eastAsia="仿宋_GB2312" w:cs="仿宋_GB2312"/>
          <w:sz w:val="32"/>
          <w:szCs w:val="32"/>
        </w:rPr>
        <w:t>万元，原因是：根据新的预算编制规则，预算科目间进行调整。</w:t>
      </w:r>
    </w:p>
    <w:p>
      <w:pPr>
        <w:ind w:firstLine="645"/>
        <w:rPr>
          <w:rFonts w:hint="eastAsia" w:ascii="仿宋_GB2312" w:hAnsi="宋体" w:eastAsia="仿宋_GB2312"/>
          <w:b/>
          <w:sz w:val="32"/>
          <w:szCs w:val="32"/>
        </w:rPr>
      </w:pPr>
      <w:r>
        <w:rPr>
          <w:rFonts w:hint="eastAsia" w:ascii="仿宋_GB2312" w:hAnsi="宋体" w:eastAsia="仿宋_GB2312"/>
          <w:b/>
          <w:sz w:val="32"/>
          <w:szCs w:val="32"/>
          <w:lang w:eastAsia="zh-CN"/>
        </w:rPr>
        <w:drawing>
          <wp:inline distT="0" distB="0" distL="114300" distR="114300">
            <wp:extent cx="5080000" cy="3810000"/>
            <wp:effectExtent l="4445" t="4445" r="20955" b="14605"/>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ind w:firstLine="643" w:firstLineChars="200"/>
        <w:rPr>
          <w:rFonts w:hint="eastAsia" w:ascii="仿宋_GB2312" w:hAnsi="宋体" w:eastAsia="仿宋_GB2312"/>
          <w:sz w:val="32"/>
          <w:szCs w:val="32"/>
        </w:rPr>
      </w:pPr>
      <w:r>
        <w:rPr>
          <w:rFonts w:hint="eastAsia" w:ascii="仿宋_GB2312" w:hAnsi="宋体" w:eastAsia="仿宋_GB2312"/>
          <w:b/>
          <w:sz w:val="32"/>
          <w:szCs w:val="32"/>
        </w:rPr>
        <w:t>2.社会保障和就业（类）行政事业单位养老支出（款）：</w:t>
      </w:r>
      <w:r>
        <w:rPr>
          <w:rFonts w:hint="eastAsia" w:ascii="仿宋_GB2312" w:hAnsi="宋体" w:eastAsia="仿宋_GB2312"/>
          <w:sz w:val="32"/>
          <w:szCs w:val="32"/>
        </w:rPr>
        <w:t>2021年财政拨款预算数为</w:t>
      </w:r>
      <w:r>
        <w:rPr>
          <w:rFonts w:hint="eastAsia" w:ascii="仿宋_GB2312" w:hAnsi="宋体" w:eastAsia="仿宋_GB2312"/>
          <w:sz w:val="32"/>
          <w:szCs w:val="32"/>
          <w:lang w:val="en-US" w:eastAsia="zh-CN"/>
        </w:rPr>
        <w:t>22.81</w:t>
      </w:r>
      <w:r>
        <w:rPr>
          <w:rFonts w:hint="eastAsia" w:ascii="仿宋_GB2312" w:hAnsi="宋体" w:eastAsia="仿宋_GB2312"/>
          <w:sz w:val="32"/>
          <w:szCs w:val="32"/>
        </w:rPr>
        <w:t>万元。归口管理的行政单位离退休（项）</w:t>
      </w:r>
      <w:r>
        <w:rPr>
          <w:rFonts w:hint="eastAsia" w:ascii="仿宋_GB2312" w:hAnsi="宋体" w:eastAsia="仿宋_GB2312"/>
          <w:sz w:val="32"/>
          <w:szCs w:val="32"/>
          <w:lang w:val="en-US" w:eastAsia="zh-CN"/>
        </w:rPr>
        <w:t>22.81</w:t>
      </w:r>
      <w:r>
        <w:rPr>
          <w:rFonts w:hint="eastAsia" w:ascii="仿宋_GB2312" w:hAnsi="宋体" w:eastAsia="仿宋_GB2312"/>
          <w:sz w:val="32"/>
          <w:szCs w:val="32"/>
        </w:rPr>
        <w:t>万元，主要用于</w:t>
      </w:r>
      <w:r>
        <w:rPr>
          <w:rFonts w:hint="eastAsia" w:ascii="仿宋_GB2312" w:hAnsi="宋体" w:eastAsia="仿宋_GB2312"/>
          <w:sz w:val="32"/>
          <w:szCs w:val="32"/>
          <w:lang w:val="en-US" w:eastAsia="zh-CN"/>
        </w:rPr>
        <w:t>乌拉特后旗应急管理局</w:t>
      </w:r>
      <w:r>
        <w:rPr>
          <w:rFonts w:hint="eastAsia" w:ascii="仿宋_GB2312" w:hAnsi="宋体" w:eastAsia="仿宋_GB2312"/>
          <w:sz w:val="32"/>
          <w:szCs w:val="32"/>
        </w:rPr>
        <w:t>机关的离退休人员经费。</w:t>
      </w:r>
      <w:r>
        <w:rPr>
          <w:rFonts w:hint="eastAsia" w:ascii="仿宋_GB2312" w:hAnsi="宋体" w:eastAsia="仿宋_GB2312"/>
          <w:sz w:val="32"/>
          <w:szCs w:val="32"/>
          <w:lang w:val="en-US" w:eastAsia="zh-CN"/>
        </w:rPr>
        <w:t>机关</w:t>
      </w:r>
      <w:r>
        <w:rPr>
          <w:rFonts w:hint="eastAsia" w:ascii="仿宋_GB2312" w:hAnsi="宋体" w:eastAsia="仿宋_GB2312"/>
          <w:sz w:val="32"/>
          <w:szCs w:val="32"/>
        </w:rPr>
        <w:t>事业单位离退休（项）</w:t>
      </w:r>
      <w:r>
        <w:rPr>
          <w:rFonts w:hint="eastAsia" w:ascii="仿宋_GB2312" w:hAnsi="宋体" w:eastAsia="仿宋_GB2312"/>
          <w:sz w:val="32"/>
          <w:szCs w:val="32"/>
          <w:lang w:val="en-US" w:eastAsia="zh-CN"/>
        </w:rPr>
        <w:t>22.81</w:t>
      </w:r>
      <w:r>
        <w:rPr>
          <w:rFonts w:hint="eastAsia" w:ascii="仿宋_GB2312" w:hAnsi="宋体" w:eastAsia="仿宋_GB2312"/>
          <w:sz w:val="32"/>
          <w:szCs w:val="32"/>
        </w:rPr>
        <w:t>万元，主要用于归口管理的事业单位开支的离退休经费。比2020年财政拨款预算数</w:t>
      </w:r>
      <w:r>
        <w:rPr>
          <w:rFonts w:hint="eastAsia" w:ascii="仿宋_GB2312" w:hAnsi="宋体" w:eastAsia="仿宋_GB2312"/>
          <w:b/>
          <w:bCs/>
          <w:sz w:val="32"/>
          <w:szCs w:val="32"/>
        </w:rPr>
        <w:t>增加</w:t>
      </w:r>
      <w:r>
        <w:rPr>
          <w:rFonts w:hint="eastAsia" w:ascii="仿宋_GB2312" w:hAnsi="宋体" w:eastAsia="仿宋_GB2312"/>
          <w:b/>
          <w:sz w:val="32"/>
          <w:szCs w:val="32"/>
          <w:lang w:val="en-US" w:eastAsia="zh-CN"/>
        </w:rPr>
        <w:t>1.48</w:t>
      </w:r>
      <w:r>
        <w:rPr>
          <w:rFonts w:hint="eastAsia" w:ascii="仿宋_GB2312" w:hAnsi="宋体" w:eastAsia="仿宋_GB2312"/>
          <w:sz w:val="32"/>
          <w:szCs w:val="32"/>
        </w:rPr>
        <w:t>万元。增加原因是退休人员的增加。</w:t>
      </w:r>
    </w:p>
    <w:p>
      <w:pPr>
        <w:widowControl/>
        <w:spacing w:line="360" w:lineRule="auto"/>
        <w:ind w:firstLine="640" w:firstLineChars="200"/>
        <w:jc w:val="left"/>
        <w:rPr>
          <w:rFonts w:hint="eastAsia" w:ascii="黑体" w:hAnsi="黑体" w:eastAsia="黑体" w:cs="黑体"/>
          <w:bCs/>
          <w:sz w:val="32"/>
          <w:szCs w:val="32"/>
        </w:rPr>
      </w:pPr>
      <w:r>
        <w:rPr>
          <w:rFonts w:hint="eastAsia" w:ascii="黑体" w:hAnsi="黑体" w:eastAsia="黑体" w:cs="黑体"/>
          <w:bCs/>
          <w:sz w:val="32"/>
          <w:szCs w:val="32"/>
        </w:rPr>
        <w:t>三、政府性基金预算拨款支出预算的情况说明</w:t>
      </w:r>
    </w:p>
    <w:p>
      <w:pPr>
        <w:ind w:firstLine="640" w:firstLineChars="200"/>
        <w:rPr>
          <w:rFonts w:hint="eastAsia" w:ascii="仿宋_GB2312" w:hAnsi="宋体" w:eastAsia="仿宋_GB2312"/>
          <w:sz w:val="32"/>
          <w:szCs w:val="32"/>
        </w:rPr>
      </w:pPr>
      <w:r>
        <w:rPr>
          <w:rFonts w:hint="eastAsia" w:ascii="仿宋_GB2312" w:hAnsi="宋体" w:eastAsia="仿宋_GB2312"/>
          <w:sz w:val="32"/>
          <w:szCs w:val="32"/>
        </w:rPr>
        <w:t>我单位2021年无政府性基金预算拨款支出。</w:t>
      </w:r>
    </w:p>
    <w:p>
      <w:pPr>
        <w:ind w:firstLine="640" w:firstLineChars="200"/>
        <w:rPr>
          <w:rFonts w:hint="eastAsia" w:ascii="黑体" w:hAnsi="黑体" w:eastAsia="黑体" w:cs="黑体"/>
          <w:bCs/>
          <w:sz w:val="32"/>
          <w:szCs w:val="32"/>
        </w:rPr>
      </w:pPr>
      <w:r>
        <w:rPr>
          <w:rFonts w:hint="eastAsia" w:ascii="黑体" w:hAnsi="黑体" w:eastAsia="黑体" w:cs="黑体"/>
          <w:bCs/>
          <w:sz w:val="32"/>
          <w:szCs w:val="32"/>
        </w:rPr>
        <w:t>四、国有资本经营预算拨款支出预算的情况说明</w:t>
      </w:r>
    </w:p>
    <w:p>
      <w:pPr>
        <w:ind w:firstLine="640" w:firstLineChars="200"/>
        <w:rPr>
          <w:rFonts w:hint="eastAsia" w:ascii="仿宋_GB2312" w:hAnsi="宋体" w:eastAsia="仿宋_GB2312"/>
          <w:sz w:val="32"/>
          <w:szCs w:val="32"/>
        </w:rPr>
      </w:pPr>
      <w:r>
        <w:rPr>
          <w:rFonts w:hint="eastAsia" w:ascii="仿宋_GB2312" w:hAnsi="宋体" w:eastAsia="仿宋_GB2312"/>
          <w:sz w:val="32"/>
          <w:szCs w:val="32"/>
        </w:rPr>
        <w:t>我单位2021年无国有资本经营预算拨款支出。</w:t>
      </w:r>
    </w:p>
    <w:p>
      <w:pPr>
        <w:widowControl/>
        <w:spacing w:line="360" w:lineRule="auto"/>
        <w:ind w:firstLine="640" w:firstLineChars="200"/>
        <w:jc w:val="left"/>
        <w:rPr>
          <w:rFonts w:hint="eastAsia" w:ascii="黑体" w:hAnsi="黑体" w:eastAsia="黑体" w:cs="黑体"/>
          <w:bCs/>
          <w:sz w:val="32"/>
          <w:szCs w:val="32"/>
        </w:rPr>
      </w:pPr>
      <w:r>
        <w:rPr>
          <w:rFonts w:hint="eastAsia" w:ascii="黑体" w:hAnsi="黑体" w:eastAsia="黑体" w:cs="黑体"/>
          <w:bCs/>
          <w:sz w:val="32"/>
          <w:szCs w:val="32"/>
        </w:rPr>
        <w:t>五、“三公经费”财政拨款支出预算的情况说明</w:t>
      </w:r>
    </w:p>
    <w:p>
      <w:pPr>
        <w:widowControl/>
        <w:spacing w:line="360" w:lineRule="auto"/>
        <w:ind w:firstLine="640" w:firstLineChars="200"/>
        <w:rPr>
          <w:rFonts w:hint="eastAsia" w:ascii="仿宋_GB2312" w:hAnsi="仿宋_GB2312" w:eastAsia="仿宋_GB2312" w:cs="仿宋_GB2312"/>
          <w:sz w:val="32"/>
          <w:szCs w:val="32"/>
        </w:rPr>
      </w:pPr>
      <w:r>
        <w:rPr>
          <w:rFonts w:hint="eastAsia" w:ascii="仿宋_GB2312" w:hAnsi="宋体" w:eastAsia="仿宋_GB2312"/>
          <w:bCs/>
          <w:sz w:val="32"/>
          <w:szCs w:val="32"/>
        </w:rPr>
        <w:t>2021年度“三公经费”财政拨款支出预算数为</w:t>
      </w:r>
      <w:r>
        <w:rPr>
          <w:rFonts w:hint="eastAsia" w:ascii="仿宋_GB2312" w:hAnsi="宋体" w:eastAsia="仿宋_GB2312"/>
          <w:bCs/>
          <w:sz w:val="32"/>
          <w:szCs w:val="32"/>
          <w:lang w:val="en-US" w:eastAsia="zh-CN"/>
        </w:rPr>
        <w:t>40.3</w:t>
      </w:r>
      <w:r>
        <w:rPr>
          <w:rFonts w:hint="eastAsia" w:ascii="仿宋_GB2312" w:hAnsi="宋体" w:eastAsia="仿宋_GB2312"/>
          <w:bCs/>
          <w:sz w:val="32"/>
          <w:szCs w:val="32"/>
        </w:rPr>
        <w:t>万元，比上年减少</w:t>
      </w:r>
      <w:r>
        <w:rPr>
          <w:rFonts w:hint="eastAsia" w:ascii="仿宋_GB2312" w:hAnsi="宋体" w:eastAsia="仿宋_GB2312"/>
          <w:bCs/>
          <w:sz w:val="32"/>
          <w:szCs w:val="32"/>
          <w:lang w:val="en-US" w:eastAsia="zh-CN"/>
        </w:rPr>
        <w:t>0.2</w:t>
      </w:r>
      <w:r>
        <w:rPr>
          <w:rFonts w:hint="eastAsia" w:ascii="仿宋_GB2312" w:hAnsi="宋体" w:eastAsia="仿宋_GB2312"/>
          <w:bCs/>
          <w:sz w:val="32"/>
          <w:szCs w:val="32"/>
        </w:rPr>
        <w:t>万元，下降</w:t>
      </w:r>
      <w:r>
        <w:rPr>
          <w:rFonts w:hint="eastAsia" w:ascii="仿宋_GB2312" w:hAnsi="宋体" w:eastAsia="仿宋_GB2312"/>
          <w:bCs/>
          <w:sz w:val="32"/>
          <w:szCs w:val="32"/>
          <w:lang w:val="en-US" w:eastAsia="zh-CN"/>
        </w:rPr>
        <w:t>0.5</w:t>
      </w:r>
      <w:r>
        <w:rPr>
          <w:rFonts w:hint="eastAsia" w:ascii="仿宋_GB2312" w:hAnsi="宋体" w:eastAsia="仿宋_GB2312"/>
          <w:bCs/>
          <w:sz w:val="32"/>
          <w:szCs w:val="32"/>
        </w:rPr>
        <w:t>%，占总支出的0.</w:t>
      </w:r>
      <w:r>
        <w:rPr>
          <w:rFonts w:hint="eastAsia" w:ascii="仿宋_GB2312" w:hAnsi="宋体" w:eastAsia="仿宋_GB2312"/>
          <w:bCs/>
          <w:sz w:val="32"/>
          <w:szCs w:val="32"/>
          <w:lang w:val="en-US" w:eastAsia="zh-CN"/>
        </w:rPr>
        <w:t>56</w:t>
      </w:r>
      <w:r>
        <w:rPr>
          <w:rFonts w:hint="eastAsia" w:ascii="仿宋_GB2312" w:hAnsi="宋体" w:eastAsia="仿宋_GB2312"/>
          <w:bCs/>
          <w:sz w:val="32"/>
          <w:szCs w:val="32"/>
        </w:rPr>
        <w:t>%，其中因公出国（境)费、公务接待费、公务用车运行维护费预算均比2020年度有所下降。</w:t>
      </w:r>
      <w:r>
        <w:rPr>
          <w:rFonts w:hint="eastAsia" w:ascii="仿宋_GB2312" w:hAnsi="仿宋_GB2312" w:eastAsia="仿宋_GB2312" w:cs="仿宋_GB2312"/>
          <w:sz w:val="32"/>
          <w:szCs w:val="32"/>
        </w:rPr>
        <w:t>主要原因是按照中央“八项规定”要求，厉行节约，按照公车改革的要求，大幅减少保留公务用车，严格控制“三公”经费支出，减少因公出国（境）团数和人数，压缩公务接待费和公务用车运行维护费, 故预算数相应减少。</w:t>
      </w:r>
    </w:p>
    <w:p>
      <w:pPr>
        <w:widowControl/>
        <w:spacing w:line="360" w:lineRule="auto"/>
        <w:ind w:firstLine="640" w:firstLineChars="200"/>
        <w:rPr>
          <w:rFonts w:hint="eastAsia" w:ascii="仿宋_GB2312" w:hAnsi="宋体" w:eastAsia="仿宋_GB2312"/>
          <w:bCs/>
          <w:sz w:val="32"/>
          <w:szCs w:val="32"/>
        </w:rPr>
      </w:pPr>
      <w:r>
        <w:rPr>
          <w:rFonts w:hint="eastAsia" w:ascii="仿宋_GB2312" w:hAnsi="宋体" w:eastAsia="仿宋_GB2312"/>
          <w:bCs/>
          <w:sz w:val="32"/>
          <w:szCs w:val="32"/>
        </w:rPr>
        <w:t>其中：</w:t>
      </w:r>
    </w:p>
    <w:p>
      <w:pPr>
        <w:widowControl/>
        <w:spacing w:line="360" w:lineRule="auto"/>
        <w:ind w:firstLine="640" w:firstLineChars="200"/>
        <w:rPr>
          <w:rFonts w:hint="eastAsia" w:ascii="仿宋_GB2312" w:hAnsi="仿宋_GB2312" w:eastAsia="仿宋_GB2312" w:cs="仿宋_GB2312"/>
          <w:sz w:val="32"/>
          <w:szCs w:val="32"/>
        </w:rPr>
      </w:pPr>
      <w:r>
        <w:rPr>
          <w:rFonts w:hint="eastAsia" w:ascii="仿宋_GB2312" w:hAnsi="宋体" w:eastAsia="仿宋_GB2312"/>
          <w:bCs/>
          <w:sz w:val="32"/>
          <w:szCs w:val="32"/>
        </w:rPr>
        <w:t>1.因公出国（境）费预算为0万元，</w:t>
      </w:r>
      <w:r>
        <w:rPr>
          <w:rFonts w:hint="eastAsia" w:ascii="仿宋_GB2312" w:hAnsi="宋体" w:eastAsia="仿宋_GB2312"/>
          <w:bCs/>
          <w:sz w:val="32"/>
          <w:szCs w:val="32"/>
          <w:lang w:val="en-US" w:eastAsia="zh-CN"/>
        </w:rPr>
        <w:t>与</w:t>
      </w:r>
      <w:r>
        <w:rPr>
          <w:rFonts w:hint="eastAsia" w:ascii="仿宋_GB2312" w:hAnsi="宋体" w:eastAsia="仿宋_GB2312"/>
          <w:bCs/>
          <w:sz w:val="32"/>
          <w:szCs w:val="32"/>
        </w:rPr>
        <w:t>上年</w:t>
      </w:r>
      <w:r>
        <w:rPr>
          <w:rFonts w:hint="eastAsia" w:ascii="仿宋_GB2312" w:hAnsi="宋体" w:eastAsia="仿宋_GB2312"/>
          <w:bCs/>
          <w:sz w:val="32"/>
          <w:szCs w:val="32"/>
          <w:lang w:val="en-US" w:eastAsia="zh-CN"/>
        </w:rPr>
        <w:t>持平</w:t>
      </w:r>
      <w:r>
        <w:rPr>
          <w:rFonts w:hint="eastAsia" w:ascii="仿宋_GB2312" w:hAnsi="宋体" w:eastAsia="仿宋_GB2312"/>
          <w:bCs/>
          <w:sz w:val="32"/>
          <w:szCs w:val="32"/>
        </w:rPr>
        <w:t>；</w:t>
      </w:r>
    </w:p>
    <w:p>
      <w:pPr>
        <w:widowControl/>
        <w:spacing w:line="360" w:lineRule="auto"/>
        <w:ind w:firstLine="640" w:firstLineChars="200"/>
        <w:rPr>
          <w:rFonts w:hint="eastAsia" w:ascii="仿宋_GB2312" w:hAnsi="宋体" w:eastAsia="仿宋_GB2312"/>
          <w:bCs/>
          <w:sz w:val="32"/>
          <w:szCs w:val="32"/>
        </w:rPr>
      </w:pPr>
      <w:r>
        <w:rPr>
          <w:rFonts w:hint="eastAsia" w:ascii="仿宋_GB2312" w:hAnsi="宋体" w:eastAsia="仿宋_GB2312"/>
          <w:bCs/>
          <w:sz w:val="32"/>
          <w:szCs w:val="32"/>
        </w:rPr>
        <w:t>2.公务接待费</w:t>
      </w:r>
      <w:r>
        <w:rPr>
          <w:rFonts w:hint="eastAsia" w:ascii="仿宋_GB2312" w:hAnsi="宋体" w:eastAsia="仿宋_GB2312"/>
          <w:bCs/>
          <w:sz w:val="32"/>
          <w:szCs w:val="32"/>
          <w:lang w:val="en-US" w:eastAsia="zh-CN"/>
        </w:rPr>
        <w:t>10.3</w:t>
      </w:r>
      <w:r>
        <w:rPr>
          <w:rFonts w:hint="eastAsia" w:ascii="仿宋_GB2312" w:hAnsi="宋体" w:eastAsia="仿宋_GB2312"/>
          <w:bCs/>
          <w:sz w:val="32"/>
          <w:szCs w:val="32"/>
        </w:rPr>
        <w:t>万元，比上年预算数减少0.2万元，下降</w:t>
      </w:r>
      <w:r>
        <w:rPr>
          <w:rFonts w:hint="eastAsia" w:ascii="仿宋_GB2312" w:hAnsi="宋体" w:eastAsia="仿宋_GB2312"/>
          <w:bCs/>
          <w:sz w:val="32"/>
          <w:szCs w:val="32"/>
          <w:lang w:val="en-US" w:eastAsia="zh-CN"/>
        </w:rPr>
        <w:t>2</w:t>
      </w:r>
      <w:r>
        <w:rPr>
          <w:rFonts w:hint="eastAsia" w:ascii="仿宋_GB2312" w:hAnsi="宋体" w:eastAsia="仿宋_GB2312"/>
          <w:bCs/>
          <w:sz w:val="32"/>
          <w:szCs w:val="32"/>
        </w:rPr>
        <w:t>%；</w:t>
      </w:r>
    </w:p>
    <w:p>
      <w:pPr>
        <w:widowControl/>
        <w:spacing w:line="360" w:lineRule="auto"/>
        <w:ind w:firstLine="640" w:firstLineChars="200"/>
        <w:rPr>
          <w:rFonts w:hint="eastAsia" w:ascii="仿宋_GB2312" w:hAnsi="仿宋_GB2312" w:eastAsia="仿宋_GB2312" w:cs="仿宋_GB2312"/>
          <w:sz w:val="32"/>
          <w:szCs w:val="32"/>
        </w:rPr>
      </w:pPr>
      <w:r>
        <w:rPr>
          <w:rFonts w:hint="eastAsia" w:ascii="仿宋_GB2312" w:hAnsi="宋体" w:eastAsia="仿宋_GB2312"/>
          <w:bCs/>
          <w:sz w:val="32"/>
          <w:szCs w:val="32"/>
        </w:rPr>
        <w:t>3.公务用车运行维护费预算</w:t>
      </w:r>
      <w:r>
        <w:rPr>
          <w:rFonts w:hint="eastAsia" w:ascii="仿宋_GB2312" w:hAnsi="宋体" w:eastAsia="仿宋_GB2312"/>
          <w:bCs/>
          <w:sz w:val="32"/>
          <w:szCs w:val="32"/>
          <w:lang w:val="en-US" w:eastAsia="zh-CN"/>
        </w:rPr>
        <w:t>30</w:t>
      </w:r>
      <w:r>
        <w:rPr>
          <w:rFonts w:hint="eastAsia" w:ascii="仿宋_GB2312" w:hAnsi="宋体" w:eastAsia="仿宋_GB2312"/>
          <w:bCs/>
          <w:sz w:val="32"/>
          <w:szCs w:val="32"/>
        </w:rPr>
        <w:t>万元，比上年预算数</w:t>
      </w:r>
      <w:r>
        <w:rPr>
          <w:rFonts w:hint="eastAsia" w:ascii="仿宋_GB2312" w:hAnsi="宋体" w:eastAsia="仿宋_GB2312"/>
          <w:bCs/>
          <w:sz w:val="32"/>
          <w:szCs w:val="32"/>
          <w:lang w:val="en-US" w:eastAsia="zh-CN"/>
        </w:rPr>
        <w:t>持平</w:t>
      </w:r>
      <w:r>
        <w:rPr>
          <w:rFonts w:hint="eastAsia" w:ascii="仿宋_GB2312" w:hAnsi="宋体" w:eastAsia="仿宋_GB2312"/>
          <w:bCs/>
          <w:sz w:val="32"/>
          <w:szCs w:val="32"/>
        </w:rPr>
        <w:t>。</w:t>
      </w:r>
    </w:p>
    <w:p>
      <w:pPr>
        <w:widowControl/>
        <w:spacing w:line="360" w:lineRule="auto"/>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sz w:val="32"/>
          <w:szCs w:val="32"/>
        </w:rPr>
        <w:t>按照自治区公车改革的有关要求，</w:t>
      </w:r>
      <w:r>
        <w:rPr>
          <w:rFonts w:hint="eastAsia" w:ascii="仿宋_GB2312" w:hAnsi="仿宋_GB2312" w:eastAsia="仿宋_GB2312" w:cs="仿宋_GB2312"/>
          <w:sz w:val="32"/>
          <w:szCs w:val="32"/>
          <w:lang w:val="en-US" w:eastAsia="zh-CN"/>
        </w:rPr>
        <w:t>乌拉特后旗应急管理局</w:t>
      </w:r>
      <w:r>
        <w:rPr>
          <w:rFonts w:hint="eastAsia" w:ascii="仿宋_GB2312" w:hAnsi="仿宋_GB2312" w:eastAsia="仿宋_GB2312" w:cs="仿宋_GB2312"/>
          <w:sz w:val="32"/>
          <w:szCs w:val="32"/>
        </w:rPr>
        <w:t>全部门保留公务用车</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辆。其中：</w:t>
      </w:r>
      <w:r>
        <w:rPr>
          <w:rFonts w:hint="eastAsia" w:ascii="仿宋_GB2312" w:eastAsia="仿宋_GB2312"/>
          <w:color w:val="000000"/>
          <w:sz w:val="32"/>
          <w:szCs w:val="32"/>
        </w:rPr>
        <w:t xml:space="preserve">机要应急车辆 </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行政执法车辆5辆</w:t>
      </w:r>
      <w:r>
        <w:rPr>
          <w:rFonts w:hint="eastAsia" w:ascii="仿宋_GB2312" w:hAnsi="仿宋_GB2312" w:eastAsia="仿宋_GB2312" w:cs="仿宋_GB2312"/>
          <w:sz w:val="32"/>
          <w:szCs w:val="32"/>
        </w:rPr>
        <w:t>。</w:t>
      </w:r>
    </w:p>
    <w:p>
      <w:pPr>
        <w:jc w:val="center"/>
        <w:rPr>
          <w:rFonts w:hint="eastAsia" w:ascii="仿宋_GB2312" w:hAnsi="宋体" w:eastAsia="仿宋_GB2312"/>
          <w:sz w:val="32"/>
          <w:szCs w:val="32"/>
          <w:lang w:eastAsia="zh-CN"/>
        </w:rPr>
      </w:pPr>
      <w:r>
        <w:rPr>
          <w:rFonts w:hint="eastAsia" w:ascii="仿宋_GB2312" w:hAnsi="宋体" w:eastAsia="仿宋_GB2312"/>
          <w:sz w:val="32"/>
          <w:szCs w:val="32"/>
          <w:lang w:eastAsia="zh-CN"/>
        </w:rPr>
        <w:drawing>
          <wp:inline distT="0" distB="0" distL="114300" distR="114300">
            <wp:extent cx="5080000" cy="3810000"/>
            <wp:effectExtent l="4445" t="4445" r="20955" b="14605"/>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jc w:val="center"/>
        <w:rPr>
          <w:rFonts w:ascii="仿宋_GB2312" w:hAnsi="宋体" w:eastAsia="仿宋_GB2312"/>
          <w:sz w:val="32"/>
          <w:szCs w:val="32"/>
        </w:rPr>
      </w:pPr>
    </w:p>
    <w:p>
      <w:pPr>
        <w:jc w:val="center"/>
        <w:rPr>
          <w:rFonts w:hint="eastAsia" w:ascii="仿宋_GB2312" w:hAnsi="宋体" w:eastAsia="仿宋_GB2312"/>
          <w:sz w:val="32"/>
          <w:szCs w:val="32"/>
        </w:rPr>
      </w:pPr>
    </w:p>
    <w:p>
      <w:pPr>
        <w:rPr>
          <w:rFonts w:hint="eastAsia" w:ascii="仿宋_GB2312" w:hAnsi="宋体" w:eastAsia="仿宋_GB2312"/>
          <w:sz w:val="32"/>
          <w:szCs w:val="32"/>
        </w:rPr>
      </w:pPr>
    </w:p>
    <w:p>
      <w:pPr>
        <w:jc w:val="center"/>
        <w:rPr>
          <w:rFonts w:hint="eastAsia" w:ascii="仿宋_GB2312" w:hAnsi="宋体" w:eastAsia="仿宋_GB2312"/>
          <w:sz w:val="32"/>
          <w:szCs w:val="32"/>
        </w:rPr>
      </w:pPr>
    </w:p>
    <w:p>
      <w:pPr>
        <w:jc w:val="center"/>
        <w:rPr>
          <w:rFonts w:hint="eastAsia" w:ascii="仿宋_GB2312" w:hAnsi="宋体" w:eastAsia="仿宋_GB2312"/>
          <w:sz w:val="32"/>
          <w:szCs w:val="32"/>
        </w:rPr>
      </w:pPr>
    </w:p>
    <w:p>
      <w:pPr>
        <w:jc w:val="center"/>
        <w:rPr>
          <w:rFonts w:hint="eastAsia" w:ascii="仿宋_GB2312" w:hAnsi="宋体" w:eastAsia="仿宋_GB2312"/>
          <w:sz w:val="32"/>
          <w:szCs w:val="32"/>
        </w:rPr>
      </w:pPr>
    </w:p>
    <w:p>
      <w:pPr>
        <w:rPr>
          <w:rFonts w:hint="eastAsia" w:ascii="仿宋_GB2312" w:hAnsi="宋体" w:eastAsia="仿宋_GB2312"/>
          <w:sz w:val="32"/>
          <w:szCs w:val="32"/>
        </w:rPr>
      </w:pPr>
    </w:p>
    <w:p>
      <w:pPr>
        <w:rPr>
          <w:rFonts w:hint="eastAsia" w:ascii="仿宋_GB2312" w:hAnsi="宋体" w:eastAsia="仿宋_GB2312"/>
          <w:sz w:val="32"/>
          <w:szCs w:val="32"/>
        </w:rPr>
      </w:pP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r>
        <w:rPr>
          <w:rFonts w:hint="eastAsia" w:ascii="方正小标宋简体" w:hAnsi="宋体" w:eastAsia="方正小标宋简体"/>
          <w:bCs/>
          <w:sz w:val="36"/>
          <w:szCs w:val="36"/>
        </w:rPr>
        <w:t xml:space="preserve">第三部分  </w:t>
      </w: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r>
        <w:rPr>
          <w:rFonts w:hint="eastAsia" w:ascii="方正小标宋简体" w:hAnsi="宋体" w:eastAsia="方正小标宋简体"/>
          <w:bCs/>
          <w:sz w:val="36"/>
          <w:szCs w:val="36"/>
        </w:rPr>
        <w:t>其他公开事项说明</w:t>
      </w: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p>
    <w:p>
      <w:pPr>
        <w:rPr>
          <w:rFonts w:hint="eastAsia" w:ascii="方正小标宋简体" w:hAnsi="宋体" w:eastAsia="方正小标宋简体"/>
          <w:bCs/>
          <w:sz w:val="32"/>
          <w:szCs w:val="32"/>
        </w:rPr>
      </w:pPr>
    </w:p>
    <w:p>
      <w:pPr>
        <w:spacing w:before="156" w:beforeLines="50" w:after="156" w:afterLines="50" w:line="58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一、机关运行经费安排情况说明</w:t>
      </w:r>
    </w:p>
    <w:p>
      <w:pPr>
        <w:spacing w:line="580" w:lineRule="exact"/>
        <w:ind w:firstLine="640" w:firstLineChars="200"/>
        <w:rPr>
          <w:rFonts w:hint="eastAsia" w:ascii="仿宋_GB2312" w:hAnsi="宋体" w:eastAsia="仿宋_GB2312"/>
          <w:bCs/>
          <w:sz w:val="32"/>
          <w:szCs w:val="32"/>
        </w:rPr>
      </w:pPr>
      <w:r>
        <w:rPr>
          <w:rFonts w:hint="eastAsia" w:ascii="仿宋_GB2312" w:hAnsi="宋体" w:eastAsia="仿宋_GB2312"/>
          <w:bCs/>
          <w:sz w:val="32"/>
          <w:szCs w:val="32"/>
        </w:rPr>
        <w:t>2021年</w:t>
      </w:r>
      <w:r>
        <w:rPr>
          <w:rFonts w:hint="eastAsia" w:ascii="仿宋_GB2312" w:hAnsi="宋体" w:eastAsia="仿宋_GB2312"/>
          <w:bCs/>
          <w:sz w:val="32"/>
          <w:szCs w:val="32"/>
          <w:lang w:eastAsia="zh-CN"/>
        </w:rPr>
        <w:t>乌拉特后旗应急管理局</w:t>
      </w:r>
      <w:r>
        <w:rPr>
          <w:rFonts w:hint="eastAsia" w:ascii="仿宋_GB2312" w:hAnsi="宋体" w:eastAsia="仿宋_GB2312"/>
          <w:bCs/>
          <w:sz w:val="32"/>
          <w:szCs w:val="32"/>
        </w:rPr>
        <w:t>机关运行经费财政拨款预算</w:t>
      </w:r>
      <w:r>
        <w:rPr>
          <w:rFonts w:hint="eastAsia" w:ascii="仿宋_GB2312" w:hAnsi="宋体" w:eastAsia="仿宋_GB2312"/>
          <w:bCs/>
          <w:sz w:val="32"/>
          <w:szCs w:val="32"/>
          <w:lang w:val="en-US" w:eastAsia="zh-CN"/>
        </w:rPr>
        <w:t>11.73</w:t>
      </w:r>
      <w:r>
        <w:rPr>
          <w:rFonts w:hint="eastAsia" w:ascii="仿宋_GB2312" w:hAnsi="宋体" w:eastAsia="仿宋_GB2312"/>
          <w:bCs/>
          <w:sz w:val="32"/>
          <w:szCs w:val="32"/>
        </w:rPr>
        <w:t>万元，比上年增加</w:t>
      </w:r>
      <w:r>
        <w:rPr>
          <w:rFonts w:hint="eastAsia" w:ascii="仿宋_GB2312" w:hAnsi="宋体" w:eastAsia="仿宋_GB2312"/>
          <w:bCs/>
          <w:sz w:val="32"/>
          <w:szCs w:val="32"/>
          <w:lang w:val="en-US" w:eastAsia="zh-CN"/>
        </w:rPr>
        <w:t>2.34</w:t>
      </w:r>
      <w:r>
        <w:rPr>
          <w:rFonts w:hint="eastAsia" w:ascii="仿宋_GB2312" w:hAnsi="宋体" w:eastAsia="仿宋_GB2312"/>
          <w:bCs/>
          <w:sz w:val="32"/>
          <w:szCs w:val="32"/>
        </w:rPr>
        <w:t>万元，增长</w:t>
      </w:r>
      <w:r>
        <w:rPr>
          <w:rFonts w:hint="eastAsia" w:ascii="仿宋_GB2312" w:hAnsi="宋体" w:eastAsia="仿宋_GB2312"/>
          <w:bCs/>
          <w:sz w:val="32"/>
          <w:szCs w:val="32"/>
          <w:lang w:val="en-US" w:eastAsia="zh-CN"/>
        </w:rPr>
        <w:t>25</w:t>
      </w:r>
      <w:r>
        <w:rPr>
          <w:rFonts w:hint="eastAsia" w:ascii="仿宋_GB2312" w:hAnsi="宋体" w:eastAsia="仿宋_GB2312"/>
          <w:bCs/>
          <w:sz w:val="32"/>
          <w:szCs w:val="32"/>
        </w:rPr>
        <w:t>%。</w:t>
      </w:r>
    </w:p>
    <w:p>
      <w:pPr>
        <w:spacing w:before="156" w:beforeLines="50" w:after="156" w:afterLines="50" w:line="58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二、“政府采购计划”预算情况说明</w:t>
      </w:r>
    </w:p>
    <w:p>
      <w:pPr>
        <w:pBdr>
          <w:bottom w:val="single" w:color="FFFFFF" w:sz="4" w:space="30"/>
        </w:pBdr>
        <w:snapToGrid w:val="0"/>
        <w:spacing w:line="580" w:lineRule="exact"/>
        <w:ind w:firstLine="640" w:firstLineChars="200"/>
        <w:rPr>
          <w:rFonts w:hint="eastAsia" w:ascii="仿宋_GB2312" w:hAnsi="仿宋" w:eastAsia="仿宋_GB2312"/>
          <w:sz w:val="32"/>
        </w:rPr>
      </w:pPr>
      <w:r>
        <w:rPr>
          <w:rFonts w:hint="eastAsia" w:ascii="仿宋_GB2312" w:hAnsi="仿宋" w:eastAsia="仿宋_GB2312"/>
          <w:sz w:val="32"/>
        </w:rPr>
        <w:t>2021年共编制政府采购预算</w:t>
      </w:r>
      <w:r>
        <w:rPr>
          <w:rFonts w:hint="eastAsia" w:ascii="仿宋_GB2312" w:hAnsi="仿宋" w:eastAsia="仿宋_GB2312"/>
          <w:sz w:val="32"/>
          <w:lang w:val="en-US" w:eastAsia="zh-CN"/>
        </w:rPr>
        <w:t>25.2</w:t>
      </w:r>
      <w:r>
        <w:rPr>
          <w:rFonts w:hint="eastAsia" w:ascii="仿宋_GB2312" w:hAnsi="仿宋" w:eastAsia="仿宋_GB2312"/>
          <w:sz w:val="32"/>
        </w:rPr>
        <w:t>万元。其中</w:t>
      </w:r>
      <w:r>
        <w:rPr>
          <w:rFonts w:hint="eastAsia" w:ascii="仿宋_GB2312" w:hAnsi="楷体_GB2312" w:eastAsia="仿宋_GB2312" w:cs="楷体_GB2312"/>
          <w:b/>
          <w:bCs/>
          <w:sz w:val="32"/>
        </w:rPr>
        <w:t>货物类</w:t>
      </w:r>
      <w:r>
        <w:rPr>
          <w:rFonts w:hint="eastAsia" w:ascii="仿宋_GB2312" w:hAnsi="仿宋" w:eastAsia="仿宋_GB2312"/>
          <w:sz w:val="32"/>
        </w:rPr>
        <w:t>政府采购预算</w:t>
      </w:r>
      <w:r>
        <w:rPr>
          <w:rFonts w:hint="eastAsia" w:ascii="仿宋_GB2312" w:hAnsi="仿宋" w:eastAsia="仿宋_GB2312"/>
          <w:sz w:val="32"/>
          <w:lang w:val="en-US" w:eastAsia="zh-CN"/>
        </w:rPr>
        <w:t>25.2</w:t>
      </w:r>
      <w:r>
        <w:rPr>
          <w:rFonts w:hint="eastAsia" w:ascii="仿宋_GB2312" w:hAnsi="仿宋" w:eastAsia="仿宋_GB2312"/>
          <w:sz w:val="32"/>
        </w:rPr>
        <w:t>万元</w:t>
      </w:r>
      <w:r>
        <w:rPr>
          <w:rFonts w:hint="eastAsia" w:ascii="仿宋_GB2312" w:hAnsi="仿宋" w:eastAsia="仿宋_GB2312"/>
          <w:sz w:val="32"/>
          <w:lang w:eastAsia="zh-CN"/>
        </w:rPr>
        <w:t>，</w:t>
      </w:r>
      <w:r>
        <w:rPr>
          <w:rFonts w:hint="eastAsia" w:ascii="仿宋_GB2312" w:hAnsi="仿宋" w:eastAsia="仿宋_GB2312"/>
          <w:sz w:val="32"/>
        </w:rPr>
        <w:t>涵盖“计算机设备及软件”、“办公设备”、“家具用具”、“纸制品及印刷品”、“办公消耗用</w:t>
      </w:r>
      <w:bookmarkStart w:id="0" w:name="_GoBack"/>
      <w:bookmarkEnd w:id="0"/>
      <w:r>
        <w:rPr>
          <w:rFonts w:hint="eastAsia" w:ascii="仿宋_GB2312" w:hAnsi="仿宋" w:eastAsia="仿宋_GB2312"/>
          <w:sz w:val="32"/>
        </w:rPr>
        <w:t>品及类似物品”等采购大类，编制政府采购预算明细1</w:t>
      </w:r>
      <w:r>
        <w:rPr>
          <w:rFonts w:hint="eastAsia" w:ascii="仿宋_GB2312" w:hAnsi="仿宋" w:eastAsia="仿宋_GB2312"/>
          <w:sz w:val="32"/>
          <w:lang w:val="en-US" w:eastAsia="zh-CN"/>
        </w:rPr>
        <w:t>0</w:t>
      </w:r>
      <w:r>
        <w:rPr>
          <w:rFonts w:hint="eastAsia" w:ascii="仿宋_GB2312" w:hAnsi="仿宋" w:eastAsia="仿宋_GB2312"/>
          <w:sz w:val="32"/>
        </w:rPr>
        <w:t>项，采购金额来源为本级财政拨款。</w:t>
      </w:r>
    </w:p>
    <w:p>
      <w:pPr>
        <w:pBdr>
          <w:bottom w:val="single" w:color="FFFFFF" w:sz="4" w:space="30"/>
        </w:pBdr>
        <w:snapToGrid w:val="0"/>
        <w:spacing w:before="156" w:beforeLines="50" w:line="58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三、国有资产占有使用和增量情况说明</w:t>
      </w:r>
    </w:p>
    <w:p>
      <w:pPr>
        <w:pBdr>
          <w:bottom w:val="single" w:color="FFFFFF" w:sz="4" w:space="30"/>
        </w:pBdr>
        <w:snapToGrid w:val="0"/>
        <w:spacing w:before="156" w:beforeLines="50" w:after="156" w:afterLines="50" w:line="580" w:lineRule="exact"/>
        <w:ind w:firstLine="640" w:firstLineChars="200"/>
        <w:rPr>
          <w:rFonts w:hint="eastAsia" w:ascii="仿宋_GB2312" w:hAnsi="宋体" w:eastAsia="仿宋_GB2312"/>
          <w:bCs/>
          <w:sz w:val="32"/>
          <w:szCs w:val="32"/>
        </w:rPr>
      </w:pPr>
      <w:r>
        <w:rPr>
          <w:rFonts w:hint="eastAsia" w:ascii="仿宋_GB2312" w:hAnsi="宋体" w:eastAsia="仿宋_GB2312"/>
          <w:bCs/>
          <w:sz w:val="32"/>
          <w:szCs w:val="32"/>
        </w:rPr>
        <w:t>截至2020年末，</w:t>
      </w:r>
      <w:r>
        <w:rPr>
          <w:rFonts w:hint="eastAsia" w:ascii="仿宋_GB2312" w:hAnsi="宋体" w:eastAsia="仿宋_GB2312"/>
          <w:bCs/>
          <w:sz w:val="32"/>
          <w:szCs w:val="32"/>
          <w:lang w:eastAsia="zh-CN"/>
        </w:rPr>
        <w:t>乌拉特后旗应急管理局</w:t>
      </w:r>
      <w:r>
        <w:rPr>
          <w:rFonts w:hint="eastAsia" w:ascii="仿宋_GB2312" w:hAnsi="宋体" w:eastAsia="仿宋_GB2312"/>
          <w:bCs/>
          <w:sz w:val="32"/>
          <w:szCs w:val="32"/>
        </w:rPr>
        <w:t>全部门固定资产</w:t>
      </w:r>
      <w:r>
        <w:rPr>
          <w:rFonts w:hint="eastAsia" w:ascii="仿宋_GB2312" w:hAnsi="宋体" w:eastAsia="仿宋_GB2312"/>
          <w:bCs/>
          <w:sz w:val="32"/>
          <w:szCs w:val="32"/>
          <w:lang w:val="en-US" w:eastAsia="zh-CN"/>
        </w:rPr>
        <w:t>430.58</w:t>
      </w:r>
      <w:r>
        <w:rPr>
          <w:rFonts w:hint="eastAsia" w:ascii="仿宋_GB2312" w:hAnsi="宋体" w:eastAsia="仿宋_GB2312"/>
          <w:bCs/>
          <w:sz w:val="32"/>
          <w:szCs w:val="32"/>
        </w:rPr>
        <w:t>万元，无形资产</w:t>
      </w:r>
      <w:r>
        <w:rPr>
          <w:rFonts w:hint="eastAsia" w:ascii="仿宋_GB2312" w:hAnsi="宋体" w:eastAsia="仿宋_GB2312"/>
          <w:bCs/>
          <w:sz w:val="32"/>
          <w:szCs w:val="32"/>
          <w:lang w:val="en-US" w:eastAsia="zh-CN"/>
        </w:rPr>
        <w:t>1.98</w:t>
      </w:r>
      <w:r>
        <w:rPr>
          <w:rFonts w:hint="eastAsia" w:ascii="仿宋_GB2312" w:hAnsi="宋体" w:eastAsia="仿宋_GB2312"/>
          <w:bCs/>
          <w:sz w:val="32"/>
          <w:szCs w:val="32"/>
        </w:rPr>
        <w:t>元。</w:t>
      </w:r>
      <w:r>
        <w:rPr>
          <w:rFonts w:hint="eastAsia" w:ascii="仿宋_GB2312" w:eastAsia="仿宋_GB2312"/>
          <w:sz w:val="32"/>
        </w:rPr>
        <w:t>2021年</w:t>
      </w:r>
      <w:r>
        <w:rPr>
          <w:rFonts w:hint="eastAsia" w:ascii="仿宋_GB2312" w:eastAsia="仿宋_GB2312"/>
          <w:sz w:val="32"/>
          <w:lang w:eastAsia="zh-CN"/>
        </w:rPr>
        <w:t>乌拉特后旗应急管理局</w:t>
      </w:r>
      <w:r>
        <w:rPr>
          <w:rFonts w:hint="eastAsia" w:ascii="仿宋_GB2312" w:eastAsia="仿宋_GB2312"/>
          <w:sz w:val="32"/>
        </w:rPr>
        <w:t>国有资产配置计划资金</w:t>
      </w:r>
      <w:r>
        <w:rPr>
          <w:rFonts w:hint="eastAsia" w:ascii="仿宋_GB2312" w:eastAsia="仿宋_GB2312"/>
          <w:sz w:val="32"/>
          <w:lang w:val="en-US" w:eastAsia="zh-CN"/>
        </w:rPr>
        <w:t>25.2</w:t>
      </w:r>
      <w:r>
        <w:rPr>
          <w:rFonts w:hint="eastAsia" w:ascii="仿宋_GB2312" w:eastAsia="仿宋_GB2312"/>
          <w:sz w:val="32"/>
        </w:rPr>
        <w:t>万元，计划新增资产</w:t>
      </w:r>
      <w:r>
        <w:rPr>
          <w:rFonts w:hint="eastAsia" w:ascii="仿宋_GB2312" w:eastAsia="仿宋_GB2312"/>
          <w:sz w:val="32"/>
          <w:lang w:val="en-US" w:eastAsia="zh-CN"/>
        </w:rPr>
        <w:t>741</w:t>
      </w:r>
      <w:r>
        <w:rPr>
          <w:rFonts w:hint="eastAsia" w:ascii="仿宋_GB2312" w:eastAsia="仿宋_GB2312"/>
          <w:sz w:val="32"/>
        </w:rPr>
        <w:t>台/件/组。其中：家具用具类配置计划</w:t>
      </w:r>
      <w:r>
        <w:rPr>
          <w:rFonts w:hint="eastAsia" w:ascii="仿宋_GB2312" w:eastAsia="仿宋_GB2312"/>
          <w:sz w:val="32"/>
          <w:lang w:val="en-US" w:eastAsia="zh-CN"/>
        </w:rPr>
        <w:t>40</w:t>
      </w:r>
      <w:r>
        <w:rPr>
          <w:rFonts w:hint="eastAsia" w:ascii="仿宋_GB2312" w:eastAsia="仿宋_GB2312"/>
          <w:sz w:val="32"/>
        </w:rPr>
        <w:t>件/组，资金预算</w:t>
      </w:r>
      <w:r>
        <w:rPr>
          <w:rFonts w:hint="eastAsia" w:ascii="仿宋_GB2312" w:eastAsia="仿宋_GB2312"/>
          <w:sz w:val="32"/>
          <w:lang w:val="en-US" w:eastAsia="zh-CN"/>
        </w:rPr>
        <w:t>6</w:t>
      </w:r>
      <w:r>
        <w:rPr>
          <w:rFonts w:hint="eastAsia" w:ascii="仿宋_GB2312" w:eastAsia="仿宋_GB2312"/>
          <w:sz w:val="32"/>
        </w:rPr>
        <w:t>万元；办公设备类配置计划</w:t>
      </w:r>
      <w:r>
        <w:rPr>
          <w:rFonts w:hint="eastAsia" w:ascii="仿宋_GB2312" w:eastAsia="仿宋_GB2312"/>
          <w:sz w:val="32"/>
          <w:lang w:val="en-US" w:eastAsia="zh-CN"/>
        </w:rPr>
        <w:t>689</w:t>
      </w:r>
      <w:r>
        <w:rPr>
          <w:rFonts w:hint="eastAsia" w:ascii="仿宋_GB2312" w:eastAsia="仿宋_GB2312"/>
          <w:sz w:val="32"/>
        </w:rPr>
        <w:t>台/件/组，资金预算</w:t>
      </w:r>
      <w:r>
        <w:rPr>
          <w:rFonts w:hint="eastAsia" w:ascii="仿宋_GB2312" w:eastAsia="仿宋_GB2312"/>
          <w:sz w:val="32"/>
          <w:lang w:val="en-US" w:eastAsia="zh-CN"/>
        </w:rPr>
        <w:t>13.4</w:t>
      </w:r>
      <w:r>
        <w:rPr>
          <w:rFonts w:hint="eastAsia" w:ascii="仿宋_GB2312" w:eastAsia="仿宋_GB2312"/>
          <w:sz w:val="32"/>
        </w:rPr>
        <w:t>万元；计算机类设备配置计划</w:t>
      </w:r>
      <w:r>
        <w:rPr>
          <w:rFonts w:hint="eastAsia" w:ascii="仿宋_GB2312" w:eastAsia="仿宋_GB2312"/>
          <w:sz w:val="32"/>
          <w:lang w:val="en-US" w:eastAsia="zh-CN"/>
        </w:rPr>
        <w:t>12</w:t>
      </w:r>
      <w:r>
        <w:rPr>
          <w:rFonts w:hint="eastAsia" w:ascii="仿宋_GB2312" w:eastAsia="仿宋_GB2312"/>
          <w:sz w:val="32"/>
        </w:rPr>
        <w:t>台，资金预算</w:t>
      </w:r>
      <w:r>
        <w:rPr>
          <w:rFonts w:hint="eastAsia" w:ascii="仿宋_GB2312" w:eastAsia="仿宋_GB2312"/>
          <w:sz w:val="32"/>
          <w:lang w:val="en-US" w:eastAsia="zh-CN"/>
        </w:rPr>
        <w:t>5.8</w:t>
      </w:r>
      <w:r>
        <w:rPr>
          <w:rFonts w:hint="eastAsia" w:ascii="仿宋_GB2312" w:eastAsia="仿宋_GB2312"/>
          <w:sz w:val="32"/>
        </w:rPr>
        <w:t>万元。</w:t>
      </w:r>
    </w:p>
    <w:p>
      <w:pPr>
        <w:numPr>
          <w:ilvl w:val="0"/>
          <w:numId w:val="4"/>
        </w:numPr>
        <w:pBdr>
          <w:bottom w:val="single" w:color="FFFFFF" w:sz="4" w:space="30"/>
        </w:pBdr>
        <w:snapToGrid w:val="0"/>
        <w:spacing w:before="156" w:beforeLines="50" w:after="156" w:afterLines="50" w:line="58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绩效目标设置情况说明</w:t>
      </w:r>
    </w:p>
    <w:p>
      <w:pPr>
        <w:pBdr>
          <w:bottom w:val="single" w:color="FFFFFF" w:sz="4" w:space="30"/>
        </w:pBdr>
        <w:snapToGrid w:val="0"/>
        <w:spacing w:line="580" w:lineRule="exact"/>
        <w:ind w:firstLine="640" w:firstLineChars="200"/>
        <w:rPr>
          <w:rFonts w:hint="eastAsia" w:ascii="仿宋_GB2312" w:hAnsi="仿宋" w:eastAsia="仿宋_GB2312" w:cs="仿宋"/>
          <w:bCs/>
          <w:sz w:val="32"/>
          <w:szCs w:val="32"/>
        </w:rPr>
      </w:pPr>
      <w:r>
        <w:rPr>
          <w:rFonts w:hint="eastAsia" w:ascii="仿宋_GB2312" w:hAnsi="仿宋" w:eastAsia="仿宋_GB2312" w:cs="仿宋"/>
          <w:bCs/>
          <w:sz w:val="32"/>
          <w:szCs w:val="32"/>
        </w:rPr>
        <w:t>根据部门预算编制要求，对重点项目预算的绩效目标进行设置。2021年，我</w:t>
      </w:r>
      <w:r>
        <w:rPr>
          <w:rFonts w:hint="eastAsia" w:ascii="仿宋_GB2312" w:hAnsi="仿宋" w:eastAsia="仿宋_GB2312" w:cs="仿宋"/>
          <w:bCs/>
          <w:sz w:val="32"/>
          <w:szCs w:val="32"/>
          <w:lang w:val="en-US" w:eastAsia="zh-CN"/>
        </w:rPr>
        <w:t>局</w:t>
      </w:r>
      <w:r>
        <w:rPr>
          <w:rFonts w:hint="eastAsia" w:ascii="仿宋_GB2312" w:hAnsi="仿宋" w:eastAsia="仿宋_GB2312" w:cs="仿宋"/>
          <w:bCs/>
          <w:sz w:val="32"/>
          <w:szCs w:val="32"/>
        </w:rPr>
        <w:t>对共计</w:t>
      </w:r>
      <w:r>
        <w:rPr>
          <w:rFonts w:hint="eastAsia" w:ascii="仿宋_GB2312" w:hAnsi="仿宋" w:eastAsia="仿宋_GB2312" w:cs="仿宋"/>
          <w:bCs/>
          <w:sz w:val="32"/>
          <w:szCs w:val="32"/>
          <w:lang w:val="en-US" w:eastAsia="zh-CN"/>
        </w:rPr>
        <w:t>5</w:t>
      </w:r>
      <w:r>
        <w:rPr>
          <w:rFonts w:hint="eastAsia" w:ascii="仿宋_GB2312" w:hAnsi="仿宋" w:eastAsia="仿宋_GB2312" w:cs="仿宋"/>
          <w:bCs/>
          <w:sz w:val="32"/>
          <w:szCs w:val="32"/>
        </w:rPr>
        <w:t>个预算项目设置绩效目标，从预算执行、产出、效益、满意度等多方面对预算项目进行综合绩效管理。设计项目绩效指标5</w:t>
      </w:r>
      <w:r>
        <w:rPr>
          <w:rFonts w:hint="eastAsia" w:ascii="仿宋_GB2312" w:hAnsi="仿宋" w:eastAsia="仿宋_GB2312" w:cs="仿宋"/>
          <w:bCs/>
          <w:sz w:val="32"/>
          <w:szCs w:val="32"/>
          <w:lang w:val="en-US" w:eastAsia="zh-CN"/>
        </w:rPr>
        <w:t>3</w:t>
      </w:r>
      <w:r>
        <w:rPr>
          <w:rFonts w:hint="eastAsia" w:ascii="仿宋_GB2312" w:hAnsi="仿宋" w:eastAsia="仿宋_GB2312" w:cs="仿宋"/>
          <w:bCs/>
          <w:sz w:val="32"/>
          <w:szCs w:val="32"/>
        </w:rPr>
        <w:t>项，一级指标中：产出指标</w:t>
      </w:r>
      <w:r>
        <w:rPr>
          <w:rFonts w:hint="eastAsia" w:ascii="仿宋_GB2312" w:hAnsi="仿宋" w:eastAsia="仿宋_GB2312" w:cs="仿宋"/>
          <w:bCs/>
          <w:sz w:val="32"/>
          <w:szCs w:val="32"/>
          <w:lang w:val="en-US" w:eastAsia="zh-CN"/>
        </w:rPr>
        <w:t>27</w:t>
      </w:r>
      <w:r>
        <w:rPr>
          <w:rFonts w:hint="eastAsia" w:ascii="仿宋_GB2312" w:hAnsi="仿宋" w:eastAsia="仿宋_GB2312" w:cs="仿宋"/>
          <w:bCs/>
          <w:sz w:val="32"/>
          <w:szCs w:val="32"/>
        </w:rPr>
        <w:t>项，效益指标</w:t>
      </w:r>
      <w:r>
        <w:rPr>
          <w:rFonts w:hint="eastAsia" w:ascii="仿宋_GB2312" w:hAnsi="仿宋" w:eastAsia="仿宋_GB2312" w:cs="仿宋"/>
          <w:bCs/>
          <w:sz w:val="32"/>
          <w:szCs w:val="32"/>
          <w:lang w:val="en-US" w:eastAsia="zh-CN"/>
        </w:rPr>
        <w:t>20</w:t>
      </w:r>
      <w:r>
        <w:rPr>
          <w:rFonts w:hint="eastAsia" w:ascii="仿宋_GB2312" w:hAnsi="仿宋" w:eastAsia="仿宋_GB2312" w:cs="仿宋"/>
          <w:bCs/>
          <w:sz w:val="32"/>
          <w:szCs w:val="32"/>
        </w:rPr>
        <w:t>项，满意度指标</w:t>
      </w:r>
      <w:r>
        <w:rPr>
          <w:rFonts w:hint="eastAsia" w:ascii="仿宋_GB2312" w:hAnsi="仿宋" w:eastAsia="仿宋_GB2312" w:cs="仿宋"/>
          <w:bCs/>
          <w:sz w:val="32"/>
          <w:szCs w:val="32"/>
          <w:lang w:val="en-US" w:eastAsia="zh-CN"/>
        </w:rPr>
        <w:t>6</w:t>
      </w:r>
      <w:r>
        <w:rPr>
          <w:rFonts w:hint="eastAsia" w:ascii="仿宋_GB2312" w:hAnsi="仿宋" w:eastAsia="仿宋_GB2312" w:cs="仿宋"/>
          <w:bCs/>
          <w:sz w:val="32"/>
          <w:szCs w:val="32"/>
        </w:rPr>
        <w:t>项。二级指标中：数量指标11项，包括巡查督查非煤矿山企业数量</w:t>
      </w:r>
      <w:r>
        <w:rPr>
          <w:rFonts w:hint="eastAsia" w:ascii="仿宋_GB2312" w:hAnsi="仿宋" w:eastAsia="仿宋_GB2312" w:cs="仿宋"/>
          <w:bCs/>
          <w:sz w:val="32"/>
          <w:szCs w:val="32"/>
          <w:lang w:eastAsia="zh-CN"/>
        </w:rPr>
        <w:t>、防震减灾知识宣传次数</w:t>
      </w:r>
      <w:r>
        <w:rPr>
          <w:rFonts w:hint="eastAsia" w:ascii="仿宋_GB2312" w:hAnsi="仿宋" w:eastAsia="仿宋_GB2312" w:cs="仿宋"/>
          <w:bCs/>
          <w:sz w:val="32"/>
          <w:szCs w:val="32"/>
        </w:rPr>
        <w:t>等；质量指标8项，包括巡查督查覆盖范围</w:t>
      </w:r>
      <w:r>
        <w:rPr>
          <w:rFonts w:hint="eastAsia" w:ascii="仿宋_GB2312" w:hAnsi="仿宋" w:eastAsia="仿宋_GB2312" w:cs="仿宋"/>
          <w:bCs/>
          <w:sz w:val="32"/>
          <w:szCs w:val="32"/>
          <w:lang w:eastAsia="zh-CN"/>
        </w:rPr>
        <w:t>、宣传范围覆盖率</w:t>
      </w:r>
      <w:r>
        <w:rPr>
          <w:rFonts w:hint="eastAsia" w:ascii="仿宋_GB2312" w:hAnsi="仿宋" w:eastAsia="仿宋_GB2312" w:cs="仿宋"/>
          <w:bCs/>
          <w:sz w:val="32"/>
          <w:szCs w:val="32"/>
        </w:rPr>
        <w:t>等；时效指标</w:t>
      </w:r>
      <w:r>
        <w:rPr>
          <w:rFonts w:hint="eastAsia" w:ascii="仿宋_GB2312" w:hAnsi="仿宋" w:eastAsia="仿宋_GB2312" w:cs="仿宋"/>
          <w:bCs/>
          <w:sz w:val="32"/>
          <w:szCs w:val="32"/>
          <w:lang w:val="en-US" w:eastAsia="zh-CN"/>
        </w:rPr>
        <w:t>4</w:t>
      </w:r>
      <w:r>
        <w:rPr>
          <w:rFonts w:hint="eastAsia" w:ascii="仿宋_GB2312" w:hAnsi="仿宋" w:eastAsia="仿宋_GB2312" w:cs="仿宋"/>
          <w:bCs/>
          <w:sz w:val="32"/>
          <w:szCs w:val="32"/>
        </w:rPr>
        <w:t>项，包括项目按期完成率</w:t>
      </w:r>
      <w:r>
        <w:rPr>
          <w:rFonts w:hint="eastAsia" w:ascii="仿宋_GB2312" w:hAnsi="仿宋" w:eastAsia="仿宋_GB2312" w:cs="仿宋"/>
          <w:bCs/>
          <w:sz w:val="32"/>
          <w:szCs w:val="32"/>
          <w:lang w:eastAsia="zh-CN"/>
        </w:rPr>
        <w:t>、巡查督查期限</w:t>
      </w:r>
      <w:r>
        <w:rPr>
          <w:rFonts w:hint="eastAsia" w:ascii="仿宋_GB2312" w:hAnsi="仿宋" w:eastAsia="仿宋_GB2312" w:cs="仿宋"/>
          <w:bCs/>
          <w:sz w:val="32"/>
          <w:szCs w:val="32"/>
        </w:rPr>
        <w:t>等；成本指标</w:t>
      </w:r>
      <w:r>
        <w:rPr>
          <w:rFonts w:hint="eastAsia" w:ascii="仿宋_GB2312" w:hAnsi="仿宋" w:eastAsia="仿宋_GB2312" w:cs="仿宋"/>
          <w:bCs/>
          <w:sz w:val="32"/>
          <w:szCs w:val="32"/>
          <w:lang w:val="en-US" w:eastAsia="zh-CN"/>
        </w:rPr>
        <w:t>4</w:t>
      </w:r>
      <w:r>
        <w:rPr>
          <w:rFonts w:hint="eastAsia" w:ascii="仿宋_GB2312" w:hAnsi="仿宋" w:eastAsia="仿宋_GB2312" w:cs="仿宋"/>
          <w:bCs/>
          <w:sz w:val="32"/>
          <w:szCs w:val="32"/>
        </w:rPr>
        <w:t>项，包括预算资金使用，人员配置及执行情况、保证安全执法方面日常工作经费等；经济效益指标</w:t>
      </w:r>
      <w:r>
        <w:rPr>
          <w:rFonts w:hint="eastAsia" w:ascii="仿宋_GB2312" w:hAnsi="仿宋" w:eastAsia="仿宋_GB2312" w:cs="仿宋"/>
          <w:bCs/>
          <w:sz w:val="32"/>
          <w:szCs w:val="32"/>
          <w:lang w:val="en-US" w:eastAsia="zh-CN"/>
        </w:rPr>
        <w:t>7</w:t>
      </w:r>
      <w:r>
        <w:rPr>
          <w:rFonts w:hint="eastAsia" w:ascii="仿宋_GB2312" w:hAnsi="仿宋" w:eastAsia="仿宋_GB2312" w:cs="仿宋"/>
          <w:bCs/>
          <w:sz w:val="32"/>
          <w:szCs w:val="32"/>
        </w:rPr>
        <w:t>项，包括保障机关及所属基层单位的正常办公、生活秩序，更好为人民群众做好服务工作、降低生产安全事故企业生产运行成本等；社会效益指标</w:t>
      </w:r>
      <w:r>
        <w:rPr>
          <w:rFonts w:hint="eastAsia" w:ascii="仿宋_GB2312" w:hAnsi="仿宋" w:eastAsia="仿宋_GB2312" w:cs="仿宋"/>
          <w:bCs/>
          <w:sz w:val="32"/>
          <w:szCs w:val="32"/>
          <w:lang w:val="en-US" w:eastAsia="zh-CN"/>
        </w:rPr>
        <w:t>4</w:t>
      </w:r>
      <w:r>
        <w:rPr>
          <w:rFonts w:hint="eastAsia" w:ascii="仿宋_GB2312" w:hAnsi="仿宋" w:eastAsia="仿宋_GB2312" w:cs="仿宋"/>
          <w:bCs/>
          <w:sz w:val="32"/>
          <w:szCs w:val="32"/>
        </w:rPr>
        <w:t>项，包括持续降低安全生产事故、提高工作人员业务素质与专业知识等；生态效益指标</w:t>
      </w:r>
      <w:r>
        <w:rPr>
          <w:rFonts w:hint="eastAsia" w:ascii="仿宋_GB2312" w:hAnsi="仿宋" w:eastAsia="仿宋_GB2312" w:cs="仿宋"/>
          <w:bCs/>
          <w:sz w:val="32"/>
          <w:szCs w:val="32"/>
          <w:lang w:val="en-US" w:eastAsia="zh-CN"/>
        </w:rPr>
        <w:t>4</w:t>
      </w:r>
      <w:r>
        <w:rPr>
          <w:rFonts w:hint="eastAsia" w:ascii="仿宋_GB2312" w:hAnsi="仿宋" w:eastAsia="仿宋_GB2312" w:cs="仿宋"/>
          <w:bCs/>
          <w:sz w:val="32"/>
          <w:szCs w:val="32"/>
        </w:rPr>
        <w:t>项，为提升群众抵御自然灾害的能力，发生灾情积极开展自救</w:t>
      </w:r>
      <w:r>
        <w:rPr>
          <w:rFonts w:hint="eastAsia" w:ascii="仿宋_GB2312" w:hAnsi="仿宋" w:eastAsia="仿宋_GB2312" w:cs="仿宋"/>
          <w:bCs/>
          <w:sz w:val="32"/>
          <w:szCs w:val="32"/>
          <w:lang w:eastAsia="zh-CN"/>
        </w:rPr>
        <w:t>、生产安全条件提高，企业内生态环境改善</w:t>
      </w:r>
      <w:r>
        <w:rPr>
          <w:rFonts w:hint="eastAsia" w:ascii="仿宋_GB2312" w:hAnsi="仿宋" w:eastAsia="仿宋_GB2312" w:cs="仿宋"/>
          <w:bCs/>
          <w:sz w:val="32"/>
          <w:szCs w:val="32"/>
          <w:lang w:val="en-US" w:eastAsia="zh-CN"/>
        </w:rPr>
        <w:t>等</w:t>
      </w:r>
      <w:r>
        <w:rPr>
          <w:rFonts w:hint="eastAsia" w:ascii="仿宋_GB2312" w:hAnsi="仿宋" w:eastAsia="仿宋_GB2312" w:cs="仿宋"/>
          <w:bCs/>
          <w:sz w:val="32"/>
          <w:szCs w:val="32"/>
        </w:rPr>
        <w:t>；可持续影响指标</w:t>
      </w:r>
      <w:r>
        <w:rPr>
          <w:rFonts w:hint="eastAsia" w:ascii="仿宋_GB2312" w:hAnsi="仿宋" w:eastAsia="仿宋_GB2312" w:cs="仿宋"/>
          <w:bCs/>
          <w:sz w:val="32"/>
          <w:szCs w:val="32"/>
          <w:lang w:val="en-US" w:eastAsia="zh-CN"/>
        </w:rPr>
        <w:t>5</w:t>
      </w:r>
      <w:r>
        <w:rPr>
          <w:rFonts w:hint="eastAsia" w:ascii="仿宋_GB2312" w:hAnsi="仿宋" w:eastAsia="仿宋_GB2312" w:cs="仿宋"/>
          <w:bCs/>
          <w:sz w:val="32"/>
          <w:szCs w:val="32"/>
        </w:rPr>
        <w:t>项，包括不断改善安全环境，不断降低事故风险、通过救灾资金发放，使受灾群众的防灾救灾意识、能力和水平得到提升等；服务对象满意度指标</w:t>
      </w:r>
      <w:r>
        <w:rPr>
          <w:rFonts w:hint="eastAsia" w:ascii="仿宋_GB2312" w:hAnsi="仿宋" w:eastAsia="仿宋_GB2312" w:cs="仿宋"/>
          <w:bCs/>
          <w:sz w:val="32"/>
          <w:szCs w:val="32"/>
          <w:lang w:val="en-US" w:eastAsia="zh-CN"/>
        </w:rPr>
        <w:t>6</w:t>
      </w:r>
      <w:r>
        <w:rPr>
          <w:rFonts w:hint="eastAsia" w:ascii="仿宋_GB2312" w:hAnsi="仿宋" w:eastAsia="仿宋_GB2312" w:cs="仿宋"/>
          <w:bCs/>
          <w:sz w:val="32"/>
          <w:szCs w:val="32"/>
        </w:rPr>
        <w:t xml:space="preserve">项，包括受益群众满意度、服务企业满意度等。  </w:t>
      </w:r>
    </w:p>
    <w:p>
      <w:pPr>
        <w:rPr>
          <w:rFonts w:hint="eastAsia" w:ascii="仿宋_GB2312" w:hAnsi="宋体" w:eastAsia="仿宋_GB2312"/>
          <w:sz w:val="32"/>
          <w:szCs w:val="32"/>
        </w:rPr>
      </w:pPr>
    </w:p>
    <w:p>
      <w:pPr>
        <w:rPr>
          <w:rFonts w:hint="eastAsia" w:ascii="仿宋_GB2312" w:hAnsi="宋体" w:eastAsia="仿宋_GB2312"/>
          <w:sz w:val="32"/>
          <w:szCs w:val="32"/>
        </w:rPr>
      </w:pPr>
    </w:p>
    <w:p>
      <w:pPr>
        <w:rPr>
          <w:rFonts w:hint="eastAsia" w:ascii="仿宋_GB2312" w:hAnsi="宋体" w:eastAsia="仿宋_GB2312"/>
          <w:sz w:val="32"/>
          <w:szCs w:val="32"/>
        </w:rPr>
      </w:pPr>
    </w:p>
    <w:p>
      <w:pPr>
        <w:rPr>
          <w:rFonts w:hint="eastAsia" w:ascii="仿宋_GB2312" w:hAnsi="宋体" w:eastAsia="仿宋_GB2312"/>
          <w:sz w:val="32"/>
          <w:szCs w:val="32"/>
        </w:rPr>
      </w:pPr>
    </w:p>
    <w:p>
      <w:pPr>
        <w:rPr>
          <w:rFonts w:hint="eastAsia" w:ascii="仿宋_GB2312" w:hAnsi="宋体" w:eastAsia="仿宋_GB2312"/>
          <w:sz w:val="32"/>
          <w:szCs w:val="32"/>
        </w:rPr>
      </w:pPr>
    </w:p>
    <w:p>
      <w:pPr>
        <w:rPr>
          <w:rFonts w:hint="eastAsia" w:ascii="仿宋_GB2312" w:hAnsi="宋体" w:eastAsia="仿宋_GB2312"/>
          <w:sz w:val="32"/>
          <w:szCs w:val="32"/>
        </w:rPr>
      </w:pPr>
    </w:p>
    <w:p>
      <w:pPr>
        <w:rPr>
          <w:rFonts w:hint="eastAsia" w:ascii="仿宋_GB2312" w:hAnsi="宋体" w:eastAsia="仿宋_GB2312"/>
          <w:sz w:val="32"/>
          <w:szCs w:val="32"/>
        </w:rPr>
      </w:pPr>
    </w:p>
    <w:p>
      <w:pPr>
        <w:rPr>
          <w:rFonts w:hint="eastAsia" w:ascii="仿宋_GB2312" w:hAnsi="宋体" w:eastAsia="仿宋_GB2312"/>
          <w:sz w:val="32"/>
          <w:szCs w:val="32"/>
        </w:rPr>
      </w:pPr>
    </w:p>
    <w:p>
      <w:pPr>
        <w:rPr>
          <w:rFonts w:hint="eastAsia" w:ascii="仿宋_GB2312" w:hAnsi="宋体" w:eastAsia="仿宋_GB2312"/>
          <w:sz w:val="32"/>
          <w:szCs w:val="32"/>
        </w:rPr>
      </w:pPr>
    </w:p>
    <w:p>
      <w:pPr>
        <w:rPr>
          <w:rFonts w:hint="eastAsia" w:ascii="仿宋_GB2312" w:hAnsi="宋体" w:eastAsia="仿宋_GB2312"/>
          <w:sz w:val="32"/>
          <w:szCs w:val="32"/>
        </w:rPr>
      </w:pPr>
    </w:p>
    <w:p>
      <w:pPr>
        <w:rPr>
          <w:rFonts w:hint="eastAsia" w:ascii="仿宋_GB2312" w:hAnsi="宋体" w:eastAsia="仿宋_GB2312"/>
          <w:sz w:val="32"/>
          <w:szCs w:val="32"/>
        </w:rPr>
      </w:pPr>
    </w:p>
    <w:p>
      <w:pPr>
        <w:rPr>
          <w:rFonts w:hint="eastAsia" w:ascii="仿宋_GB2312" w:hAnsi="宋体" w:eastAsia="仿宋_GB2312"/>
          <w:sz w:val="32"/>
          <w:szCs w:val="32"/>
        </w:rPr>
      </w:pPr>
    </w:p>
    <w:p>
      <w:pPr>
        <w:rPr>
          <w:rFonts w:hint="eastAsia" w:ascii="仿宋_GB2312" w:hAnsi="宋体" w:eastAsia="仿宋_GB2312"/>
          <w:sz w:val="32"/>
          <w:szCs w:val="32"/>
        </w:rPr>
      </w:pPr>
    </w:p>
    <w:p>
      <w:pPr>
        <w:rPr>
          <w:rFonts w:hint="eastAsia" w:ascii="仿宋_GB2312" w:hAnsi="宋体" w:eastAsia="仿宋_GB2312"/>
          <w:sz w:val="32"/>
          <w:szCs w:val="32"/>
        </w:rPr>
      </w:pPr>
    </w:p>
    <w:p>
      <w:pPr>
        <w:rPr>
          <w:rFonts w:hint="eastAsia" w:ascii="仿宋_GB2312" w:hAnsi="宋体" w:eastAsia="仿宋_GB2312"/>
          <w:sz w:val="32"/>
          <w:szCs w:val="32"/>
        </w:rPr>
      </w:pPr>
    </w:p>
    <w:p>
      <w:pPr>
        <w:jc w:val="center"/>
        <w:rPr>
          <w:rFonts w:hint="eastAsia" w:ascii="黑体" w:hAnsi="黑体" w:eastAsia="黑体"/>
          <w:b/>
          <w:sz w:val="36"/>
          <w:szCs w:val="36"/>
        </w:rPr>
      </w:pPr>
      <w:r>
        <w:rPr>
          <w:rFonts w:hint="eastAsia" w:ascii="黑体" w:hAnsi="黑体" w:eastAsia="黑体"/>
          <w:b/>
          <w:sz w:val="36"/>
          <w:szCs w:val="36"/>
        </w:rPr>
        <w:t>第四部分</w:t>
      </w:r>
    </w:p>
    <w:p>
      <w:pPr>
        <w:jc w:val="center"/>
        <w:rPr>
          <w:rFonts w:hint="eastAsia" w:ascii="黑体" w:hAnsi="黑体" w:eastAsia="黑体"/>
          <w:b/>
          <w:sz w:val="36"/>
          <w:szCs w:val="36"/>
        </w:rPr>
      </w:pPr>
    </w:p>
    <w:p>
      <w:pPr>
        <w:jc w:val="center"/>
        <w:rPr>
          <w:rFonts w:hint="eastAsia" w:ascii="黑体" w:hAnsi="黑体" w:eastAsia="黑体"/>
          <w:b/>
          <w:sz w:val="36"/>
          <w:szCs w:val="36"/>
        </w:rPr>
      </w:pPr>
      <w:r>
        <w:rPr>
          <w:rFonts w:hint="eastAsia" w:ascii="黑体" w:hAnsi="黑体" w:eastAsia="黑体"/>
          <w:b/>
          <w:sz w:val="36"/>
          <w:szCs w:val="36"/>
        </w:rPr>
        <w:t>名词解释</w:t>
      </w:r>
    </w:p>
    <w:p>
      <w:pPr>
        <w:rPr>
          <w:rFonts w:hint="eastAsia" w:ascii="仿宋_GB2312" w:hAnsi="宋体" w:eastAsia="仿宋_GB2312"/>
          <w:sz w:val="32"/>
          <w:szCs w:val="32"/>
        </w:rPr>
      </w:pPr>
    </w:p>
    <w:p>
      <w:pPr>
        <w:rPr>
          <w:rFonts w:hint="eastAsia" w:ascii="仿宋_GB2312" w:hAnsi="宋体" w:eastAsia="仿宋_GB2312"/>
          <w:sz w:val="32"/>
          <w:szCs w:val="32"/>
        </w:rPr>
      </w:pPr>
    </w:p>
    <w:p>
      <w:pPr>
        <w:rPr>
          <w:rFonts w:hint="eastAsia" w:ascii="仿宋_GB2312" w:hAnsi="宋体" w:eastAsia="仿宋_GB2312"/>
          <w:sz w:val="32"/>
          <w:szCs w:val="32"/>
        </w:rPr>
      </w:pPr>
    </w:p>
    <w:p>
      <w:pPr>
        <w:rPr>
          <w:rFonts w:hint="eastAsia" w:ascii="仿宋_GB2312" w:hAnsi="宋体" w:eastAsia="仿宋_GB2312"/>
          <w:sz w:val="32"/>
          <w:szCs w:val="32"/>
        </w:rPr>
      </w:pPr>
    </w:p>
    <w:p>
      <w:pPr>
        <w:rPr>
          <w:rFonts w:hint="eastAsia" w:ascii="仿宋_GB2312" w:hAnsi="宋体" w:eastAsia="仿宋_GB2312"/>
          <w:sz w:val="32"/>
          <w:szCs w:val="32"/>
        </w:rPr>
      </w:pPr>
    </w:p>
    <w:p>
      <w:pPr>
        <w:rPr>
          <w:rFonts w:hint="eastAsia" w:ascii="仿宋_GB2312" w:hAnsi="宋体" w:eastAsia="仿宋_GB2312"/>
          <w:sz w:val="32"/>
          <w:szCs w:val="32"/>
        </w:rPr>
      </w:pPr>
    </w:p>
    <w:p>
      <w:pPr>
        <w:rPr>
          <w:rFonts w:hint="eastAsia" w:ascii="仿宋_GB2312" w:hAnsi="宋体" w:eastAsia="仿宋_GB2312"/>
          <w:sz w:val="32"/>
          <w:szCs w:val="32"/>
        </w:rPr>
      </w:pPr>
    </w:p>
    <w:p>
      <w:pPr>
        <w:rPr>
          <w:rFonts w:hint="eastAsia" w:ascii="仿宋_GB2312" w:hAnsi="宋体" w:eastAsia="仿宋_GB2312"/>
          <w:sz w:val="32"/>
          <w:szCs w:val="32"/>
        </w:rPr>
      </w:pPr>
    </w:p>
    <w:p>
      <w:pPr>
        <w:rPr>
          <w:rFonts w:hint="eastAsia" w:ascii="仿宋_GB2312" w:hAnsi="宋体" w:eastAsia="仿宋_GB2312"/>
          <w:sz w:val="32"/>
          <w:szCs w:val="32"/>
        </w:rPr>
      </w:pPr>
    </w:p>
    <w:p>
      <w:pPr>
        <w:rPr>
          <w:rFonts w:hint="eastAsia" w:ascii="仿宋_GB2312" w:hAnsi="宋体" w:eastAsia="仿宋_GB2312"/>
          <w:sz w:val="32"/>
          <w:szCs w:val="32"/>
        </w:rPr>
      </w:pPr>
    </w:p>
    <w:p>
      <w:pPr>
        <w:rPr>
          <w:rFonts w:hint="eastAsia" w:ascii="仿宋_GB2312" w:hAnsi="宋体" w:eastAsia="仿宋_GB2312"/>
          <w:sz w:val="32"/>
          <w:szCs w:val="32"/>
        </w:rPr>
      </w:pPr>
    </w:p>
    <w:p>
      <w:pPr>
        <w:ind w:firstLine="643" w:firstLineChars="200"/>
        <w:rPr>
          <w:rFonts w:hint="eastAsia" w:ascii="仿宋_GB2312" w:hAnsi="宋体" w:eastAsia="仿宋_GB2312"/>
          <w:sz w:val="32"/>
          <w:szCs w:val="32"/>
        </w:rPr>
      </w:pPr>
      <w:r>
        <w:rPr>
          <w:rFonts w:hint="eastAsia" w:ascii="仿宋_GB2312" w:hAnsi="宋体" w:eastAsia="仿宋_GB2312"/>
          <w:b/>
          <w:sz w:val="32"/>
          <w:szCs w:val="32"/>
        </w:rPr>
        <w:t>一、一般公共预算拨款收入：</w:t>
      </w:r>
      <w:r>
        <w:rPr>
          <w:rFonts w:hint="eastAsia" w:ascii="仿宋_GB2312" w:hAnsi="宋体" w:eastAsia="仿宋_GB2312"/>
          <w:sz w:val="32"/>
          <w:szCs w:val="32"/>
        </w:rPr>
        <w:t>指自治区财政当年拨付的资金。</w:t>
      </w:r>
    </w:p>
    <w:p>
      <w:pPr>
        <w:ind w:firstLine="643" w:firstLineChars="200"/>
        <w:rPr>
          <w:rFonts w:hint="eastAsia" w:ascii="仿宋_GB2312" w:hAnsi="宋体" w:eastAsia="仿宋_GB2312"/>
          <w:sz w:val="32"/>
          <w:szCs w:val="32"/>
        </w:rPr>
      </w:pPr>
      <w:r>
        <w:rPr>
          <w:rFonts w:hint="eastAsia" w:ascii="仿宋_GB2312" w:hAnsi="宋体" w:eastAsia="仿宋_GB2312"/>
          <w:b/>
          <w:sz w:val="32"/>
          <w:szCs w:val="32"/>
        </w:rPr>
        <w:t>二、事业收入：</w:t>
      </w:r>
      <w:r>
        <w:rPr>
          <w:rFonts w:hint="eastAsia" w:ascii="仿宋_GB2312" w:hAnsi="宋体" w:eastAsia="仿宋_GB2312"/>
          <w:sz w:val="32"/>
          <w:szCs w:val="32"/>
        </w:rPr>
        <w:t>指事业单位开展专业业务活动及辅助活动所取得的收入。</w:t>
      </w:r>
    </w:p>
    <w:p>
      <w:pPr>
        <w:ind w:firstLine="643" w:firstLineChars="200"/>
        <w:rPr>
          <w:rFonts w:hint="eastAsia" w:ascii="仿宋_GB2312" w:hAnsi="宋体" w:eastAsia="仿宋_GB2312"/>
          <w:sz w:val="32"/>
          <w:szCs w:val="32"/>
        </w:rPr>
      </w:pPr>
      <w:r>
        <w:rPr>
          <w:rFonts w:hint="eastAsia" w:ascii="仿宋_GB2312" w:hAnsi="宋体" w:eastAsia="仿宋_GB2312"/>
          <w:b/>
          <w:sz w:val="32"/>
          <w:szCs w:val="32"/>
        </w:rPr>
        <w:t>三、事业单位经营收入：</w:t>
      </w:r>
      <w:r>
        <w:rPr>
          <w:rFonts w:hint="eastAsia" w:ascii="仿宋_GB2312" w:hAnsi="宋体" w:eastAsia="仿宋_GB2312"/>
          <w:sz w:val="32"/>
          <w:szCs w:val="32"/>
        </w:rPr>
        <w:t>指事业单位在专业业务活动及其辅助活动之外开展非独立核算经营活动取得的收入。</w:t>
      </w:r>
    </w:p>
    <w:p>
      <w:pPr>
        <w:ind w:firstLine="643" w:firstLineChars="200"/>
        <w:rPr>
          <w:rFonts w:hint="eastAsia" w:ascii="仿宋_GB2312" w:hAnsi="宋体" w:eastAsia="仿宋_GB2312"/>
          <w:sz w:val="32"/>
          <w:szCs w:val="32"/>
        </w:rPr>
      </w:pPr>
      <w:r>
        <w:rPr>
          <w:rFonts w:hint="eastAsia" w:ascii="仿宋_GB2312" w:hAnsi="宋体" w:eastAsia="仿宋_GB2312"/>
          <w:b/>
          <w:sz w:val="32"/>
          <w:szCs w:val="32"/>
        </w:rPr>
        <w:t>四、其他收入：</w:t>
      </w:r>
      <w:r>
        <w:rPr>
          <w:rFonts w:hint="eastAsia" w:ascii="仿宋_GB2312" w:hAnsi="宋体" w:eastAsia="仿宋_GB2312"/>
          <w:sz w:val="32"/>
          <w:szCs w:val="32"/>
        </w:rPr>
        <w:t>指除上述“财政拨款收入”、“事业收入”、“事业单位经营收入”等以外的收入。主要是按规定动用的售房收入、存款利息收入等。</w:t>
      </w:r>
    </w:p>
    <w:p>
      <w:pPr>
        <w:ind w:firstLine="643" w:firstLineChars="200"/>
        <w:rPr>
          <w:rFonts w:hint="eastAsia" w:ascii="仿宋_GB2312" w:hAnsi="宋体" w:eastAsia="仿宋_GB2312"/>
          <w:sz w:val="32"/>
          <w:szCs w:val="32"/>
        </w:rPr>
      </w:pPr>
      <w:r>
        <w:rPr>
          <w:rFonts w:hint="eastAsia" w:ascii="仿宋_GB2312" w:hAnsi="宋体" w:eastAsia="仿宋_GB2312"/>
          <w:b/>
          <w:sz w:val="32"/>
          <w:szCs w:val="32"/>
        </w:rPr>
        <w:t>五、用事业基金弥补收支差额：</w:t>
      </w:r>
      <w:r>
        <w:rPr>
          <w:rFonts w:hint="eastAsia" w:ascii="仿宋_GB2312" w:hAnsi="宋体" w:eastAsia="仿宋_GB2312"/>
          <w:sz w:val="32"/>
          <w:szCs w:val="32"/>
        </w:rPr>
        <w:t>指事业单位在预计用当年的“财政拨款收入”、“财政拨款结转和结余资金”、“事业收入”、“事业单位经营收入”、“其他收入”不足以安排当年支出的情况下，使用以前年度积累的事业基金（事业单位当年收支相抵后按国家规定提取、用于弥补以后年度收支差额的基金）弥补本年度收支缺口的资金。</w:t>
      </w:r>
    </w:p>
    <w:p>
      <w:pPr>
        <w:ind w:firstLine="643" w:firstLineChars="200"/>
        <w:rPr>
          <w:rFonts w:hint="eastAsia" w:ascii="仿宋_GB2312" w:hAnsi="宋体" w:eastAsia="仿宋_GB2312"/>
          <w:sz w:val="32"/>
          <w:szCs w:val="32"/>
        </w:rPr>
      </w:pPr>
      <w:r>
        <w:rPr>
          <w:rFonts w:hint="eastAsia" w:ascii="仿宋_GB2312" w:hAnsi="宋体" w:eastAsia="仿宋_GB2312"/>
          <w:b/>
          <w:sz w:val="32"/>
          <w:szCs w:val="32"/>
        </w:rPr>
        <w:t>六、上年结转：</w:t>
      </w:r>
      <w:r>
        <w:rPr>
          <w:rFonts w:hint="eastAsia" w:ascii="仿宋_GB2312" w:hAnsi="宋体" w:eastAsia="仿宋_GB2312"/>
          <w:sz w:val="32"/>
          <w:szCs w:val="32"/>
        </w:rPr>
        <w:t>指以前年度尚未完成、结转到本年仍按原规定用途继续使用的资金。</w:t>
      </w:r>
    </w:p>
    <w:p>
      <w:pPr>
        <w:ind w:firstLine="643" w:firstLineChars="200"/>
        <w:rPr>
          <w:rFonts w:hint="eastAsia" w:ascii="仿宋_GB2312" w:hAnsi="宋体" w:eastAsia="仿宋_GB2312"/>
          <w:sz w:val="32"/>
          <w:szCs w:val="32"/>
        </w:rPr>
      </w:pPr>
      <w:r>
        <w:rPr>
          <w:rFonts w:hint="eastAsia" w:ascii="仿宋_GB2312" w:hAnsi="宋体" w:eastAsia="仿宋_GB2312"/>
          <w:b/>
          <w:sz w:val="32"/>
          <w:szCs w:val="32"/>
        </w:rPr>
        <w:t>七、一般公共服务（类）财政事务（款）：</w:t>
      </w:r>
      <w:r>
        <w:rPr>
          <w:rFonts w:hint="eastAsia" w:ascii="仿宋_GB2312" w:hAnsi="宋体" w:eastAsia="仿宋_GB2312"/>
          <w:sz w:val="32"/>
          <w:szCs w:val="32"/>
        </w:rPr>
        <w:t>指</w:t>
      </w:r>
      <w:r>
        <w:rPr>
          <w:rFonts w:hint="eastAsia" w:ascii="仿宋_GB2312" w:hAnsi="宋体" w:eastAsia="仿宋_GB2312"/>
          <w:sz w:val="32"/>
          <w:szCs w:val="32"/>
          <w:lang w:eastAsia="zh-CN"/>
        </w:rPr>
        <w:t>乌拉特后旗应急管理局</w:t>
      </w:r>
      <w:r>
        <w:rPr>
          <w:rFonts w:hint="eastAsia" w:ascii="仿宋_GB2312" w:hAnsi="宋体" w:eastAsia="仿宋_GB2312"/>
          <w:sz w:val="32"/>
          <w:szCs w:val="32"/>
        </w:rPr>
        <w:t>用于保障机构正常运行、开展财政管理活动的支出。</w:t>
      </w:r>
    </w:p>
    <w:p>
      <w:pPr>
        <w:ind w:firstLine="643" w:firstLineChars="200"/>
        <w:rPr>
          <w:rFonts w:hint="eastAsia" w:ascii="仿宋_GB2312" w:hAnsi="宋体" w:eastAsia="仿宋_GB2312"/>
          <w:sz w:val="32"/>
          <w:szCs w:val="32"/>
        </w:rPr>
      </w:pPr>
      <w:r>
        <w:rPr>
          <w:rFonts w:hint="eastAsia" w:ascii="仿宋_GB2312" w:hAnsi="宋体" w:eastAsia="仿宋_GB2312"/>
          <w:b/>
          <w:sz w:val="32"/>
          <w:szCs w:val="32"/>
        </w:rPr>
        <w:t>八、社会保障和就业支出（类）行政事业单位养老支出（款）：</w:t>
      </w:r>
      <w:r>
        <w:rPr>
          <w:rFonts w:hint="eastAsia" w:ascii="仿宋_GB2312" w:hAnsi="宋体" w:eastAsia="仿宋_GB2312"/>
          <w:sz w:val="32"/>
          <w:szCs w:val="32"/>
        </w:rPr>
        <w:t>指</w:t>
      </w:r>
      <w:r>
        <w:rPr>
          <w:rFonts w:hint="eastAsia" w:ascii="仿宋_GB2312" w:hAnsi="宋体" w:eastAsia="仿宋_GB2312"/>
          <w:sz w:val="32"/>
          <w:szCs w:val="32"/>
          <w:lang w:eastAsia="zh-CN"/>
        </w:rPr>
        <w:t>乌拉特后旗应急管理局</w:t>
      </w:r>
      <w:r>
        <w:rPr>
          <w:rFonts w:hint="eastAsia" w:ascii="仿宋_GB2312" w:hAnsi="宋体" w:eastAsia="仿宋_GB2312"/>
          <w:sz w:val="32"/>
          <w:szCs w:val="32"/>
        </w:rPr>
        <w:t>机关及厅属事业单位按照国家政策规定用于养老方面的支出。</w:t>
      </w:r>
    </w:p>
    <w:p>
      <w:pPr>
        <w:ind w:firstLine="643" w:firstLineChars="200"/>
        <w:rPr>
          <w:rFonts w:hint="eastAsia" w:ascii="仿宋_GB2312" w:hAnsi="宋体" w:eastAsia="仿宋_GB2312"/>
          <w:sz w:val="32"/>
          <w:szCs w:val="32"/>
        </w:rPr>
      </w:pPr>
      <w:r>
        <w:rPr>
          <w:rFonts w:hint="eastAsia" w:ascii="仿宋_GB2312" w:hAnsi="宋体" w:eastAsia="仿宋_GB2312"/>
          <w:b/>
          <w:sz w:val="32"/>
          <w:szCs w:val="32"/>
        </w:rPr>
        <w:t>九、住房保障支出（类）住房改革支出（款）：</w:t>
      </w:r>
      <w:r>
        <w:rPr>
          <w:rFonts w:hint="eastAsia" w:ascii="仿宋_GB2312" w:hAnsi="宋体" w:eastAsia="仿宋_GB2312"/>
          <w:sz w:val="32"/>
          <w:szCs w:val="32"/>
        </w:rPr>
        <w:t>指</w:t>
      </w:r>
      <w:r>
        <w:rPr>
          <w:rFonts w:hint="eastAsia" w:ascii="仿宋_GB2312" w:hAnsi="宋体" w:eastAsia="仿宋_GB2312"/>
          <w:sz w:val="32"/>
          <w:szCs w:val="32"/>
          <w:lang w:eastAsia="zh-CN"/>
        </w:rPr>
        <w:t>乌拉特后旗应急管理局</w:t>
      </w:r>
      <w:r>
        <w:rPr>
          <w:rFonts w:hint="eastAsia" w:ascii="仿宋_GB2312" w:hAnsi="宋体" w:eastAsia="仿宋_GB2312"/>
          <w:sz w:val="32"/>
          <w:szCs w:val="32"/>
        </w:rPr>
        <w:t>机关及厅属事业单位按照国家政策规定用于住房改革方面的支出。</w:t>
      </w:r>
    </w:p>
    <w:p>
      <w:pPr>
        <w:ind w:firstLine="643" w:firstLineChars="200"/>
        <w:rPr>
          <w:rFonts w:hint="eastAsia" w:ascii="仿宋_GB2312" w:hAnsi="宋体" w:eastAsia="仿宋_GB2312"/>
          <w:sz w:val="32"/>
          <w:szCs w:val="32"/>
        </w:rPr>
      </w:pPr>
      <w:r>
        <w:rPr>
          <w:rFonts w:hint="eastAsia" w:ascii="仿宋_GB2312" w:hAnsi="宋体" w:eastAsia="仿宋_GB2312"/>
          <w:b/>
          <w:sz w:val="32"/>
          <w:szCs w:val="32"/>
        </w:rPr>
        <w:t>十、卫生健康支出（类）行政事业单位医疗（款）：</w:t>
      </w:r>
      <w:r>
        <w:rPr>
          <w:rFonts w:hint="eastAsia" w:ascii="仿宋_GB2312" w:hAnsi="宋体" w:eastAsia="仿宋_GB2312"/>
          <w:sz w:val="32"/>
          <w:szCs w:val="32"/>
        </w:rPr>
        <w:t>指</w:t>
      </w:r>
      <w:r>
        <w:rPr>
          <w:rFonts w:hint="eastAsia" w:ascii="仿宋_GB2312" w:hAnsi="宋体" w:eastAsia="仿宋_GB2312"/>
          <w:sz w:val="32"/>
          <w:szCs w:val="32"/>
          <w:lang w:eastAsia="zh-CN"/>
        </w:rPr>
        <w:t>乌拉特后旗应急管理局</w:t>
      </w:r>
      <w:r>
        <w:rPr>
          <w:rFonts w:hint="eastAsia" w:ascii="仿宋_GB2312" w:hAnsi="宋体" w:eastAsia="仿宋_GB2312"/>
          <w:sz w:val="32"/>
          <w:szCs w:val="32"/>
        </w:rPr>
        <w:t>机关及厅属事业单位按照国家政策规定用于医疗方面的支出。</w:t>
      </w:r>
    </w:p>
    <w:p>
      <w:pPr>
        <w:ind w:firstLine="643" w:firstLineChars="200"/>
        <w:rPr>
          <w:rFonts w:hint="eastAsia" w:ascii="仿宋_GB2312" w:hAnsi="宋体" w:eastAsia="仿宋_GB2312"/>
          <w:sz w:val="32"/>
          <w:szCs w:val="32"/>
        </w:rPr>
      </w:pPr>
      <w:r>
        <w:rPr>
          <w:rFonts w:hint="eastAsia" w:ascii="仿宋_GB2312" w:hAnsi="宋体" w:eastAsia="仿宋_GB2312"/>
          <w:b/>
          <w:sz w:val="32"/>
          <w:szCs w:val="32"/>
        </w:rPr>
        <w:t>十一、住房公积金：</w:t>
      </w:r>
      <w:r>
        <w:rPr>
          <w:rFonts w:hint="eastAsia" w:ascii="仿宋_GB2312" w:hAnsi="宋体" w:eastAsia="仿宋_GB2312"/>
          <w:sz w:val="32"/>
          <w:szCs w:val="32"/>
        </w:rPr>
        <w:t>指按照国家统一规定，按规定比例为职工缴纳的住房公积金。</w:t>
      </w:r>
    </w:p>
    <w:p>
      <w:pPr>
        <w:ind w:firstLine="643" w:firstLineChars="200"/>
        <w:rPr>
          <w:rFonts w:hint="eastAsia" w:ascii="仿宋_GB2312" w:hAnsi="宋体" w:eastAsia="仿宋_GB2312"/>
          <w:sz w:val="32"/>
          <w:szCs w:val="32"/>
        </w:rPr>
      </w:pPr>
      <w:r>
        <w:rPr>
          <w:rFonts w:hint="eastAsia" w:ascii="仿宋_GB2312" w:hAnsi="宋体" w:eastAsia="仿宋_GB2312"/>
          <w:b/>
          <w:sz w:val="32"/>
          <w:szCs w:val="32"/>
        </w:rPr>
        <w:t>十二、结转下年：</w:t>
      </w:r>
      <w:r>
        <w:rPr>
          <w:rFonts w:hint="eastAsia" w:ascii="仿宋_GB2312" w:hAnsi="宋体" w:eastAsia="仿宋_GB2312"/>
          <w:sz w:val="32"/>
          <w:szCs w:val="32"/>
        </w:rPr>
        <w:t>指以前年度预算安排、因客观条件发生变化无法按原计划实施，需延迟到以后年度按原规定用途继续使用的资金。</w:t>
      </w:r>
    </w:p>
    <w:p>
      <w:pPr>
        <w:ind w:firstLine="643" w:firstLineChars="200"/>
        <w:rPr>
          <w:rFonts w:hint="eastAsia" w:ascii="仿宋_GB2312" w:hAnsi="宋体" w:eastAsia="仿宋_GB2312"/>
          <w:sz w:val="32"/>
          <w:szCs w:val="32"/>
        </w:rPr>
      </w:pPr>
      <w:r>
        <w:rPr>
          <w:rFonts w:hint="eastAsia" w:ascii="仿宋_GB2312" w:hAnsi="宋体" w:eastAsia="仿宋_GB2312"/>
          <w:b/>
          <w:sz w:val="32"/>
          <w:szCs w:val="32"/>
        </w:rPr>
        <w:t>十三、基本支出：</w:t>
      </w:r>
      <w:r>
        <w:rPr>
          <w:rFonts w:hint="eastAsia" w:ascii="仿宋_GB2312" w:hAnsi="宋体" w:eastAsia="仿宋_GB2312"/>
          <w:sz w:val="32"/>
          <w:szCs w:val="32"/>
        </w:rPr>
        <w:t>指为保障机构正常运转、完成日常工作任务而发生的人员支出和公用支出。</w:t>
      </w:r>
    </w:p>
    <w:p>
      <w:pPr>
        <w:ind w:firstLine="643" w:firstLineChars="200"/>
        <w:rPr>
          <w:rFonts w:hint="eastAsia" w:ascii="仿宋_GB2312" w:hAnsi="宋体" w:eastAsia="仿宋_GB2312"/>
          <w:sz w:val="32"/>
          <w:szCs w:val="32"/>
        </w:rPr>
      </w:pPr>
      <w:r>
        <w:rPr>
          <w:rFonts w:hint="eastAsia" w:ascii="仿宋_GB2312" w:hAnsi="宋体" w:eastAsia="仿宋_GB2312"/>
          <w:b/>
          <w:sz w:val="32"/>
          <w:szCs w:val="32"/>
        </w:rPr>
        <w:t>十四、项目支出：</w:t>
      </w:r>
      <w:r>
        <w:rPr>
          <w:rFonts w:hint="eastAsia" w:ascii="仿宋_GB2312" w:hAnsi="宋体" w:eastAsia="仿宋_GB2312"/>
          <w:sz w:val="32"/>
          <w:szCs w:val="32"/>
        </w:rPr>
        <w:t>指在基本支出之外为完成特定行政任务和事业发展目标所发生的支出。</w:t>
      </w:r>
    </w:p>
    <w:p>
      <w:pPr>
        <w:snapToGrid w:val="0"/>
        <w:spacing w:line="560" w:lineRule="exact"/>
        <w:ind w:firstLine="645"/>
        <w:rPr>
          <w:rFonts w:hint="eastAsia" w:ascii="仿宋_GB2312" w:eastAsia="仿宋_GB2312"/>
          <w:sz w:val="32"/>
          <w:szCs w:val="32"/>
        </w:rPr>
      </w:pPr>
      <w:r>
        <w:rPr>
          <w:rFonts w:hint="eastAsia" w:ascii="仿宋_GB2312" w:hAnsi="宋体" w:eastAsia="仿宋_GB2312"/>
          <w:b/>
          <w:color w:val="000000"/>
          <w:sz w:val="32"/>
          <w:szCs w:val="32"/>
        </w:rPr>
        <w:t>十五、“三公”经费：</w:t>
      </w:r>
      <w:r>
        <w:rPr>
          <w:rFonts w:hint="eastAsia" w:ascii="仿宋_GB2312" w:eastAsia="仿宋_GB2312"/>
          <w:sz w:val="32"/>
          <w:szCs w:val="32"/>
        </w:rPr>
        <w:t>纳入财政预决算管理的“三公”经费，是指部门用财政拨款安排的因公出国（境）费、公务用车购置及运行费和公务接待费。</w:t>
      </w:r>
    </w:p>
    <w:p>
      <w:pPr>
        <w:adjustRightInd w:val="0"/>
        <w:snapToGrid w:val="0"/>
        <w:spacing w:line="560" w:lineRule="exact"/>
        <w:ind w:firstLine="643" w:firstLineChars="200"/>
        <w:rPr>
          <w:rFonts w:hint="eastAsia" w:ascii="仿宋_GB2312" w:eastAsia="仿宋_GB2312"/>
          <w:sz w:val="32"/>
          <w:szCs w:val="32"/>
        </w:rPr>
      </w:pPr>
      <w:r>
        <w:rPr>
          <w:rFonts w:hint="eastAsia" w:ascii="仿宋_GB2312" w:eastAsia="仿宋_GB2312"/>
          <w:b/>
          <w:bCs/>
          <w:sz w:val="32"/>
          <w:szCs w:val="32"/>
        </w:rPr>
        <w:t>十六、机关运行经费：</w:t>
      </w:r>
      <w:r>
        <w:rPr>
          <w:rFonts w:hint="eastAsia" w:ascii="仿宋_GB2312" w:eastAsia="仿宋_GB2312"/>
          <w:sz w:val="32"/>
          <w:szCs w:val="32"/>
        </w:rPr>
        <w:t>是指各部门的公用经费，包括办公及印刷费、邮电费、差旅费、会议费、福利费、日常维修费、专业材料及一般设备购置费、办公用房水电费、办公用房取暖费、办公用房物业管理费、公务用车运行维护费以及其他费用。</w:t>
      </w:r>
    </w:p>
    <w:p>
      <w:pPr>
        <w:adjustRightInd w:val="0"/>
        <w:snapToGrid w:val="0"/>
        <w:spacing w:line="560" w:lineRule="exact"/>
        <w:rPr>
          <w:rFonts w:hint="eastAsia" w:ascii="仿宋_GB2312" w:eastAsia="仿宋_GB2312"/>
          <w:sz w:val="32"/>
          <w:szCs w:val="32"/>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r>
        <w:rPr>
          <w:rFonts w:hint="eastAsia" w:ascii="方正小标宋简体" w:hAnsi="宋体" w:eastAsia="方正小标宋简体"/>
          <w:bCs/>
          <w:sz w:val="36"/>
          <w:szCs w:val="36"/>
        </w:rPr>
        <w:t xml:space="preserve">第五部分 </w:t>
      </w: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r>
        <w:rPr>
          <w:rFonts w:hint="eastAsia" w:ascii="方正小标宋简体" w:hAnsi="宋体" w:eastAsia="方正小标宋简体"/>
          <w:bCs/>
          <w:sz w:val="36"/>
          <w:szCs w:val="36"/>
          <w:lang w:eastAsia="zh-CN"/>
        </w:rPr>
        <w:t>乌拉特后旗应急管理局</w:t>
      </w:r>
      <w:r>
        <w:rPr>
          <w:rFonts w:hint="eastAsia" w:ascii="方正小标宋简体" w:hAnsi="宋体" w:eastAsia="方正小标宋简体"/>
          <w:bCs/>
          <w:sz w:val="36"/>
          <w:szCs w:val="36"/>
        </w:rPr>
        <w:t>2021年部门预算公开表</w:t>
      </w:r>
    </w:p>
    <w:p>
      <w:pPr>
        <w:tabs>
          <w:tab w:val="left" w:pos="3532"/>
        </w:tabs>
        <w:autoSpaceDE w:val="0"/>
        <w:autoSpaceDN w:val="0"/>
        <w:adjustRightInd w:val="0"/>
        <w:spacing w:line="560" w:lineRule="exact"/>
        <w:jc w:val="center"/>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黑体" w:hAnsi="黑体" w:eastAsia="黑体" w:cs="黑体"/>
          <w:bCs/>
          <w:sz w:val="32"/>
          <w:szCs w:val="32"/>
        </w:rPr>
      </w:pPr>
    </w:p>
    <w:p>
      <w:pPr>
        <w:tabs>
          <w:tab w:val="left" w:pos="3532"/>
        </w:tabs>
        <w:autoSpaceDE w:val="0"/>
        <w:autoSpaceDN w:val="0"/>
        <w:adjustRightInd w:val="0"/>
        <w:spacing w:line="56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一、收支预算总表</w:t>
      </w:r>
    </w:p>
    <w:p>
      <w:pPr>
        <w:tabs>
          <w:tab w:val="left" w:pos="3532"/>
        </w:tabs>
        <w:autoSpaceDE w:val="0"/>
        <w:autoSpaceDN w:val="0"/>
        <w:adjustRightInd w:val="0"/>
        <w:spacing w:line="56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二、收入预算总表</w:t>
      </w:r>
    </w:p>
    <w:p>
      <w:pPr>
        <w:tabs>
          <w:tab w:val="left" w:pos="3532"/>
        </w:tabs>
        <w:autoSpaceDE w:val="0"/>
        <w:autoSpaceDN w:val="0"/>
        <w:adjustRightInd w:val="0"/>
        <w:spacing w:line="56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三、支出预算总表</w:t>
      </w:r>
    </w:p>
    <w:p>
      <w:pPr>
        <w:tabs>
          <w:tab w:val="left" w:pos="3532"/>
        </w:tabs>
        <w:autoSpaceDE w:val="0"/>
        <w:autoSpaceDN w:val="0"/>
        <w:adjustRightInd w:val="0"/>
        <w:spacing w:line="56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四、财政拨款预算总表</w:t>
      </w:r>
    </w:p>
    <w:p>
      <w:pPr>
        <w:tabs>
          <w:tab w:val="left" w:pos="3532"/>
        </w:tabs>
        <w:autoSpaceDE w:val="0"/>
        <w:autoSpaceDN w:val="0"/>
        <w:adjustRightInd w:val="0"/>
        <w:spacing w:line="56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五、一般公共预算支出表</w:t>
      </w:r>
    </w:p>
    <w:p>
      <w:pPr>
        <w:tabs>
          <w:tab w:val="left" w:pos="3532"/>
        </w:tabs>
        <w:autoSpaceDE w:val="0"/>
        <w:autoSpaceDN w:val="0"/>
        <w:adjustRightInd w:val="0"/>
        <w:spacing w:line="56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六、一般公共预算基本支出表</w:t>
      </w:r>
    </w:p>
    <w:p>
      <w:pPr>
        <w:tabs>
          <w:tab w:val="left" w:pos="3532"/>
        </w:tabs>
        <w:autoSpaceDE w:val="0"/>
        <w:autoSpaceDN w:val="0"/>
        <w:adjustRightInd w:val="0"/>
        <w:spacing w:line="56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七、一般公共预算“三公”经费支出预算表</w:t>
      </w:r>
    </w:p>
    <w:p>
      <w:pPr>
        <w:tabs>
          <w:tab w:val="left" w:pos="3532"/>
        </w:tabs>
        <w:autoSpaceDE w:val="0"/>
        <w:autoSpaceDN w:val="0"/>
        <w:adjustRightInd w:val="0"/>
        <w:spacing w:line="56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八、政府性基金预算支出表</w:t>
      </w:r>
    </w:p>
    <w:p>
      <w:pPr>
        <w:tabs>
          <w:tab w:val="left" w:pos="3532"/>
        </w:tabs>
        <w:autoSpaceDE w:val="0"/>
        <w:autoSpaceDN w:val="0"/>
        <w:adjustRightInd w:val="0"/>
        <w:spacing w:line="56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九、国有资本经营预算支出表</w:t>
      </w:r>
    </w:p>
    <w:p>
      <w:pPr>
        <w:tabs>
          <w:tab w:val="left" w:pos="3532"/>
        </w:tabs>
        <w:autoSpaceDE w:val="0"/>
        <w:autoSpaceDN w:val="0"/>
        <w:adjustRightInd w:val="0"/>
        <w:spacing w:line="56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十、项目支出表</w:t>
      </w:r>
    </w:p>
    <w:p>
      <w:pPr>
        <w:tabs>
          <w:tab w:val="left" w:pos="3532"/>
        </w:tabs>
        <w:autoSpaceDE w:val="0"/>
        <w:autoSpaceDN w:val="0"/>
        <w:adjustRightInd w:val="0"/>
        <w:spacing w:line="56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十一、政府采购预算表</w:t>
      </w:r>
    </w:p>
    <w:p>
      <w:pPr>
        <w:tabs>
          <w:tab w:val="left" w:pos="3532"/>
        </w:tabs>
        <w:autoSpaceDE w:val="0"/>
        <w:autoSpaceDN w:val="0"/>
        <w:adjustRightInd w:val="0"/>
        <w:spacing w:line="56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十二、项目支出绩效表</w:t>
      </w: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方正小标宋简体" w:hAnsi="宋体" w:eastAsia="方正小标宋简体"/>
          <w:bCs/>
          <w:sz w:val="36"/>
          <w:szCs w:val="36"/>
        </w:rPr>
      </w:pPr>
    </w:p>
    <w:p>
      <w:pPr>
        <w:tabs>
          <w:tab w:val="left" w:pos="3532"/>
        </w:tabs>
        <w:autoSpaceDE w:val="0"/>
        <w:autoSpaceDN w:val="0"/>
        <w:adjustRightInd w:val="0"/>
        <w:spacing w:line="560" w:lineRule="exact"/>
        <w:rPr>
          <w:rFonts w:hint="eastAsia" w:ascii="仿宋_GB2312" w:eastAsia="仿宋_GB2312"/>
          <w:sz w:val="32"/>
          <w:szCs w:val="32"/>
        </w:rPr>
      </w:pPr>
      <w:r>
        <w:rPr>
          <w:rFonts w:hint="eastAsia" w:ascii="仿宋_GB2312" w:eastAsia="仿宋_GB2312"/>
          <w:sz w:val="32"/>
          <w:szCs w:val="32"/>
        </w:rPr>
        <w:t>备注：1、预算公开表见附表</w:t>
      </w:r>
    </w:p>
    <w:p>
      <w:pPr>
        <w:tabs>
          <w:tab w:val="left" w:pos="3532"/>
        </w:tabs>
        <w:autoSpaceDE w:val="0"/>
        <w:autoSpaceDN w:val="0"/>
        <w:adjustRightInd w:val="0"/>
        <w:spacing w:line="560" w:lineRule="exact"/>
        <w:rPr>
          <w:rFonts w:hint="eastAsia" w:ascii="黑体" w:hAnsi="黑体" w:eastAsia="黑体" w:cs="黑体"/>
          <w:bCs/>
          <w:sz w:val="32"/>
          <w:szCs w:val="32"/>
        </w:rPr>
      </w:pPr>
      <w:r>
        <w:rPr>
          <w:rFonts w:hint="eastAsia" w:ascii="仿宋_GB2312" w:eastAsia="仿宋_GB2312"/>
          <w:sz w:val="32"/>
          <w:szCs w:val="32"/>
        </w:rPr>
        <w:t xml:space="preserve">      2、按预算公开编制要求，预算公开报告及公开表的计数单位为万元，而2021年预算编制是以元为计数单位，因此小数点后第二位存在四舍五入的差异。</w:t>
      </w:r>
    </w:p>
    <w:p/>
    <w:sectPr>
      <w:headerReference r:id="rId3" w:type="default"/>
      <w:footerReference r:id="rId4" w:type="default"/>
      <w:footerReference r:id="rId5" w:type="even"/>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2010601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541" w:h="282" w:hRule="exact" w:wrap="around" w:vAnchor="text" w:hAnchor="page" w:x="5761" w:y="7"/>
      <w:rPr>
        <w:rStyle w:val="8"/>
        <w:sz w:val="20"/>
        <w:szCs w:val="20"/>
      </w:rPr>
    </w:pPr>
    <w:r>
      <w:rPr>
        <w:sz w:val="20"/>
        <w:szCs w:val="20"/>
      </w:rPr>
      <w:fldChar w:fldCharType="begin"/>
    </w:r>
    <w:r>
      <w:rPr>
        <w:rStyle w:val="8"/>
        <w:sz w:val="20"/>
        <w:szCs w:val="20"/>
      </w:rPr>
      <w:instrText xml:space="preserve">PAGE  </w:instrText>
    </w:r>
    <w:r>
      <w:rPr>
        <w:sz w:val="20"/>
        <w:szCs w:val="20"/>
      </w:rPr>
      <w:fldChar w:fldCharType="separate"/>
    </w:r>
    <w:r>
      <w:rPr>
        <w:rStyle w:val="8"/>
        <w:sz w:val="20"/>
        <w:szCs w:val="20"/>
      </w:rPr>
      <w:t>- 8 -</w:t>
    </w:r>
    <w:r>
      <w:rPr>
        <w:sz w:val="20"/>
        <w:szCs w:val="20"/>
      </w:rPr>
      <w:fldChar w:fldCharType="end"/>
    </w:r>
  </w:p>
  <w:p>
    <w:pPr>
      <w:pStyle w:val="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- 16 -</w:t>
    </w:r>
    <w:r>
      <w:fldChar w:fldCharType="end"/>
    </w:r>
  </w:p>
  <w:p>
    <w:pPr>
      <w:pStyle w:val="3"/>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E50B39"/>
    <w:multiLevelType w:val="multilevel"/>
    <w:tmpl w:val="07E50B39"/>
    <w:lvl w:ilvl="0" w:tentative="0">
      <w:start w:val="5"/>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
    <w:nsid w:val="0E7DA328"/>
    <w:multiLevelType w:val="singleLevel"/>
    <w:tmpl w:val="0E7DA328"/>
    <w:lvl w:ilvl="0" w:tentative="0">
      <w:start w:val="4"/>
      <w:numFmt w:val="chineseCounting"/>
      <w:suff w:val="nothing"/>
      <w:lvlText w:val="%1、"/>
      <w:lvlJc w:val="left"/>
      <w:rPr>
        <w:rFonts w:hint="eastAsia"/>
      </w:rPr>
    </w:lvl>
  </w:abstractNum>
  <w:abstractNum w:abstractNumId="2">
    <w:nsid w:val="554B3C00"/>
    <w:multiLevelType w:val="singleLevel"/>
    <w:tmpl w:val="554B3C00"/>
    <w:lvl w:ilvl="0" w:tentative="0">
      <w:start w:val="3"/>
      <w:numFmt w:val="chineseCounting"/>
      <w:suff w:val="nothing"/>
      <w:lvlText w:val="（%1）"/>
      <w:lvlJc w:val="left"/>
    </w:lvl>
  </w:abstractNum>
  <w:abstractNum w:abstractNumId="3">
    <w:nsid w:val="5A96A4B2"/>
    <w:multiLevelType w:val="singleLevel"/>
    <w:tmpl w:val="5A96A4B2"/>
    <w:lvl w:ilvl="0" w:tentative="0">
      <w:start w:val="1"/>
      <w:numFmt w:val="chineseCounting"/>
      <w:suff w:val="nothing"/>
      <w:lvlText w:val="（%1）"/>
      <w:lvlJc w:val="left"/>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5855BF"/>
    <w:rsid w:val="013A67B3"/>
    <w:rsid w:val="05131B67"/>
    <w:rsid w:val="05D85337"/>
    <w:rsid w:val="06091E12"/>
    <w:rsid w:val="062C63A0"/>
    <w:rsid w:val="071B00C9"/>
    <w:rsid w:val="08350598"/>
    <w:rsid w:val="08A9511E"/>
    <w:rsid w:val="0A573296"/>
    <w:rsid w:val="0A5D3F6F"/>
    <w:rsid w:val="0AF23D3F"/>
    <w:rsid w:val="0CA16ED4"/>
    <w:rsid w:val="0CB819D6"/>
    <w:rsid w:val="0E7F045D"/>
    <w:rsid w:val="0F646CEA"/>
    <w:rsid w:val="10F05F22"/>
    <w:rsid w:val="12B6075E"/>
    <w:rsid w:val="12C6538F"/>
    <w:rsid w:val="13F8254B"/>
    <w:rsid w:val="14A96874"/>
    <w:rsid w:val="15A41963"/>
    <w:rsid w:val="16B9659D"/>
    <w:rsid w:val="181D777C"/>
    <w:rsid w:val="1A9271AB"/>
    <w:rsid w:val="1AA76F7F"/>
    <w:rsid w:val="1BCB1FA4"/>
    <w:rsid w:val="1C1E0FBD"/>
    <w:rsid w:val="2071270B"/>
    <w:rsid w:val="245855BF"/>
    <w:rsid w:val="27CD15C3"/>
    <w:rsid w:val="27CF295D"/>
    <w:rsid w:val="2A2B7A48"/>
    <w:rsid w:val="2A2D539F"/>
    <w:rsid w:val="2B27018F"/>
    <w:rsid w:val="2C2C136B"/>
    <w:rsid w:val="2EDC1383"/>
    <w:rsid w:val="305F3917"/>
    <w:rsid w:val="30DD3EC1"/>
    <w:rsid w:val="31E647A8"/>
    <w:rsid w:val="33747121"/>
    <w:rsid w:val="33A60499"/>
    <w:rsid w:val="34563B7D"/>
    <w:rsid w:val="38FD0BE3"/>
    <w:rsid w:val="399C75F1"/>
    <w:rsid w:val="39E413B7"/>
    <w:rsid w:val="3BD05313"/>
    <w:rsid w:val="3D3B55B4"/>
    <w:rsid w:val="3E07430B"/>
    <w:rsid w:val="3E5F5794"/>
    <w:rsid w:val="3F491324"/>
    <w:rsid w:val="40734ED6"/>
    <w:rsid w:val="41584526"/>
    <w:rsid w:val="43157113"/>
    <w:rsid w:val="476F1FEB"/>
    <w:rsid w:val="48A94E39"/>
    <w:rsid w:val="4A545D79"/>
    <w:rsid w:val="4C980C26"/>
    <w:rsid w:val="4CA5090D"/>
    <w:rsid w:val="4CDC4F46"/>
    <w:rsid w:val="50AF4F80"/>
    <w:rsid w:val="51402704"/>
    <w:rsid w:val="51DF1DDF"/>
    <w:rsid w:val="533923BA"/>
    <w:rsid w:val="56686885"/>
    <w:rsid w:val="585A613A"/>
    <w:rsid w:val="59090058"/>
    <w:rsid w:val="59A675E2"/>
    <w:rsid w:val="5A154E33"/>
    <w:rsid w:val="5A445393"/>
    <w:rsid w:val="5ADD4AF4"/>
    <w:rsid w:val="5C360228"/>
    <w:rsid w:val="5E8A4F7C"/>
    <w:rsid w:val="5E916299"/>
    <w:rsid w:val="5F5A52C5"/>
    <w:rsid w:val="5FF80A61"/>
    <w:rsid w:val="6076085D"/>
    <w:rsid w:val="607C11B7"/>
    <w:rsid w:val="60863A79"/>
    <w:rsid w:val="60D7690D"/>
    <w:rsid w:val="62250589"/>
    <w:rsid w:val="62773FA4"/>
    <w:rsid w:val="654A5B64"/>
    <w:rsid w:val="65DE7C8E"/>
    <w:rsid w:val="699E3CA2"/>
    <w:rsid w:val="6A3D6259"/>
    <w:rsid w:val="6B354912"/>
    <w:rsid w:val="6E543C82"/>
    <w:rsid w:val="6FCB4FD8"/>
    <w:rsid w:val="70247C5B"/>
    <w:rsid w:val="72CB064E"/>
    <w:rsid w:val="72F11D68"/>
    <w:rsid w:val="738D16E8"/>
    <w:rsid w:val="742D717B"/>
    <w:rsid w:val="7484568C"/>
    <w:rsid w:val="751E12B2"/>
    <w:rsid w:val="7665685C"/>
    <w:rsid w:val="768029D9"/>
    <w:rsid w:val="77012D0B"/>
    <w:rsid w:val="78391700"/>
    <w:rsid w:val="78730B2F"/>
    <w:rsid w:val="7AD36930"/>
    <w:rsid w:val="7B7E42C9"/>
    <w:rsid w:val="7C371A4C"/>
    <w:rsid w:val="7C412C79"/>
    <w:rsid w:val="7CD62FB2"/>
    <w:rsid w:val="7CFC2EEC"/>
    <w:rsid w:val="7D653166"/>
    <w:rsid w:val="7DD97A79"/>
    <w:rsid w:val="7F437E11"/>
    <w:rsid w:val="7FC333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Plain Text"/>
    <w:basedOn w:val="1"/>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45" w:beforeLines="0" w:after="45" w:afterLines="0" w:line="432" w:lineRule="auto"/>
      <w:ind w:right="150" w:firstLine="480"/>
      <w:jc w:val="left"/>
    </w:pPr>
    <w:rPr>
      <w:rFonts w:ascii="宋体" w:hAnsi="宋体" w:cs="宋体"/>
      <w:kern w:val="0"/>
      <w:sz w:val="24"/>
    </w:rPr>
  </w:style>
  <w:style w:type="character" w:styleId="8">
    <w:name w:val="page number"/>
    <w:basedOn w:val="7"/>
    <w:uiPriority w:val="0"/>
  </w:style>
  <w:style w:type="paragraph" w:customStyle="1" w:styleId="9">
    <w:name w:val=" Char Char"/>
    <w:basedOn w:val="1"/>
    <w:qFormat/>
    <w:uiPriority w:val="0"/>
    <w:pPr>
      <w:widowControl/>
      <w:spacing w:after="160" w:afterLines="0" w:line="240" w:lineRule="exact"/>
      <w:jc w:val="left"/>
    </w:pPr>
    <w:rPr>
      <w:rFonts w:ascii="Verdana" w:hAnsi="Verdana" w:eastAsia="仿宋_GB2312"/>
      <w:kern w:val="0"/>
      <w:sz w:val="24"/>
      <w:szCs w:val="20"/>
      <w:lang w:eastAsia="en-US"/>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image" Target="media/image2.emf"/><Relationship Id="rId11" Type="http://schemas.openxmlformats.org/officeDocument/2006/relationships/oleObject" Target="embeddings/oleObject2.bin"/><Relationship Id="rId10" Type="http://schemas.openxmlformats.org/officeDocument/2006/relationships/image" Target="media/image1.emf"/><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delete val="1"/>
          </c:dLbls>
          <c:cat>
            <c:strRef>
              <c:f>Sheet1!$A$1:$C$1</c:f>
              <c:strCache>
                <c:ptCount val="3"/>
                <c:pt idx="0">
                  <c:v> </c:v>
                </c:pt>
                <c:pt idx="1">
                  <c:v>2020年</c:v>
                </c:pt>
                <c:pt idx="2">
                  <c:v>2021年</c:v>
                </c:pt>
              </c:strCache>
            </c:strRef>
          </c:cat>
          <c:val>
            <c:numRef>
              <c:f>Sheet1!$A$2:$C$2</c:f>
              <c:numCache>
                <c:formatCode>General</c:formatCode>
                <c:ptCount val="3"/>
                <c:pt idx="0">
                  <c:v>0</c:v>
                </c:pt>
                <c:pt idx="1">
                  <c:v>623.6</c:v>
                </c:pt>
                <c:pt idx="2">
                  <c:v>714.74</c:v>
                </c:pt>
              </c:numCache>
            </c:numRef>
          </c:val>
        </c:ser>
        <c:ser>
          <c:idx val="1"/>
          <c:order val="1"/>
          <c:spPr>
            <a:solidFill>
              <a:schemeClr val="accent2"/>
            </a:solidFill>
            <a:ln>
              <a:noFill/>
            </a:ln>
            <a:effectLst/>
          </c:spPr>
          <c:invertIfNegative val="0"/>
          <c:dLbls>
            <c:delete val="1"/>
          </c:dLbls>
          <c:cat>
            <c:strRef>
              <c:f>Sheet1!$A$1:$C$1</c:f>
              <c:strCache>
                <c:ptCount val="3"/>
                <c:pt idx="0">
                  <c:v> </c:v>
                </c:pt>
                <c:pt idx="1">
                  <c:v>2020年</c:v>
                </c:pt>
                <c:pt idx="2">
                  <c:v>2021年</c:v>
                </c:pt>
              </c:strCache>
            </c:strRef>
          </c:cat>
          <c:val>
            <c:numRef>
              <c:f>Sheet1!$A$3:$C$3</c:f>
              <c:numCache>
                <c:formatCode>General</c:formatCode>
                <c:ptCount val="3"/>
                <c:pt idx="0">
                  <c:v>0</c:v>
                </c:pt>
                <c:pt idx="1">
                  <c:v>623.6</c:v>
                </c:pt>
                <c:pt idx="2">
                  <c:v>714.74</c:v>
                </c:pt>
              </c:numCache>
            </c:numRef>
          </c:val>
        </c:ser>
        <c:dLbls>
          <c:showLegendKey val="0"/>
          <c:showVal val="1"/>
          <c:showCatName val="0"/>
          <c:showSerName val="0"/>
          <c:showPercent val="0"/>
          <c:showBubbleSize val="0"/>
        </c:dLbls>
        <c:gapWidth val="150"/>
        <c:overlap val="0"/>
        <c:axId val="209234420"/>
        <c:axId val="726397961"/>
      </c:barChart>
      <c:catAx>
        <c:axId val="20923442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cap="all" spc="120" normalizeH="0" baseline="0">
                <a:solidFill>
                  <a:schemeClr val="tx1">
                    <a:lumMod val="65000"/>
                    <a:lumOff val="35000"/>
                  </a:schemeClr>
                </a:solidFill>
                <a:latin typeface="+mn-lt"/>
                <a:ea typeface="+mn-ea"/>
                <a:cs typeface="+mn-cs"/>
              </a:defRPr>
            </a:pPr>
          </a:p>
        </c:txPr>
        <c:crossAx val="726397961"/>
        <c:crosses val="autoZero"/>
        <c:auto val="1"/>
        <c:lblAlgn val="ctr"/>
        <c:lblOffset val="100"/>
        <c:noMultiLvlLbl val="0"/>
      </c:catAx>
      <c:valAx>
        <c:axId val="726397961"/>
        <c:scaling>
          <c:orientation val="minMax"/>
        </c:scaling>
        <c:delete val="0"/>
        <c:axPos val="l"/>
        <c:majorGridlines>
          <c:spPr>
            <a:ln w="9525" cap="flat" cmpd="sng" algn="ctr">
              <a:solidFill>
                <a:schemeClr val="tx1">
                  <a:lumMod val="15000"/>
                  <a:lumOff val="85000"/>
                </a:schemeClr>
              </a:solidFill>
              <a:round/>
            </a:ln>
            <a:effectLst/>
          </c:spPr>
        </c:majorGridlines>
        <c:title>
          <c:layout/>
          <c:overlay val="0"/>
          <c:spPr>
            <a:noFill/>
            <a:ln>
              <a:noFill/>
            </a:ln>
            <a:effectLst/>
          </c:spPr>
          <c:txPr>
            <a:bodyPr rot="-5400000" spcFirstLastPara="0" vertOverflow="ellipsis" vert="horz" wrap="square" anchor="ctr" anchorCtr="1"/>
            <a:lstStyle/>
            <a:p>
              <a:pPr>
                <a:defRPr lang="zh-CN" sz="900" b="0" i="0" u="none" strike="noStrike" kern="1200" cap="all" baseline="0">
                  <a:solidFill>
                    <a:schemeClr val="tx1">
                      <a:lumMod val="65000"/>
                      <a:lumOff val="35000"/>
                    </a:schemeClr>
                  </a:solidFill>
                  <a:latin typeface="+mn-lt"/>
                  <a:ea typeface="+mn-ea"/>
                  <a:cs typeface="+mn-cs"/>
                </a:defRPr>
              </a:pPr>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9234420"/>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收入预算</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一般公共预算拨款收入</c:v>
                </c:pt>
                <c:pt idx="1">
                  <c:v>其他收入</c:v>
                </c:pt>
                <c:pt idx="2">
                  <c:v>上年结转结余</c:v>
                </c:pt>
              </c:strCache>
            </c:strRef>
          </c:cat>
          <c:val>
            <c:numRef>
              <c:f>Sheet1!$B$2:$B$4</c:f>
              <c:numCache>
                <c:formatCode>0%</c:formatCode>
                <c:ptCount val="3"/>
                <c:pt idx="0">
                  <c:v>0.85</c:v>
                </c:pt>
                <c:pt idx="1" c:formatCode="General">
                  <c:v>0</c:v>
                </c:pt>
                <c:pt idx="2">
                  <c:v>0.15</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800" b="1" i="0" u="none" strike="noStrike" kern="1200" baseline="0">
              <a:solidFill>
                <a:schemeClr val="dk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财政拨款比重</c:v>
                </c:pt>
              </c:strCache>
            </c:strRef>
          </c:tx>
          <c:spPr/>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Sheet1!$A$2:$A$4</c:f>
              <c:strCache>
                <c:ptCount val="3"/>
                <c:pt idx="0">
                  <c:v>一般公共服务（类）</c:v>
                </c:pt>
                <c:pt idx="1">
                  <c:v>社会保障和就业（类）</c:v>
                </c:pt>
                <c:pt idx="2">
                  <c:v>卫生健康（类）</c:v>
                </c:pt>
              </c:strCache>
            </c:strRef>
          </c:cat>
          <c:val>
            <c:numRef>
              <c:f>Sheet1!$B$2:$B$4</c:f>
              <c:numCache>
                <c:formatCode>General</c:formatCode>
                <c:ptCount val="3"/>
                <c:pt idx="0">
                  <c:v>82</c:v>
                </c:pt>
                <c:pt idx="1">
                  <c:v>13</c:v>
                </c:pt>
                <c:pt idx="2">
                  <c:v>5</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一般公共服务</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行政运行</c:v>
                </c:pt>
                <c:pt idx="1">
                  <c:v>一般行政管理事务</c:v>
                </c:pt>
              </c:strCache>
            </c:strRef>
          </c:cat>
          <c:val>
            <c:numRef>
              <c:f>Sheet1!$B$2:$B$3</c:f>
              <c:numCache>
                <c:formatCode>0.00%</c:formatCode>
                <c:ptCount val="2"/>
                <c:pt idx="0">
                  <c:v>0.733</c:v>
                </c:pt>
                <c:pt idx="1">
                  <c:v>0.267</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2020年</c:v>
                </c:pt>
              </c:strCache>
            </c:strRef>
          </c:tx>
          <c:spPr>
            <a:solidFill>
              <a:schemeClr val="accent1"/>
            </a:solidFill>
            <a:ln>
              <a:noFill/>
            </a:ln>
            <a:effectLst/>
          </c:spPr>
          <c:invertIfNegative val="0"/>
          <c:dLbls>
            <c:delete val="1"/>
          </c:dLbls>
          <c:cat>
            <c:strRef>
              <c:f>Sheet1!$A$2:$A$5</c:f>
              <c:strCache>
                <c:ptCount val="4"/>
                <c:pt idx="0">
                  <c:v>三公经费</c:v>
                </c:pt>
                <c:pt idx="1">
                  <c:v>公务接待费</c:v>
                </c:pt>
                <c:pt idx="2">
                  <c:v>公务用车运行维护费</c:v>
                </c:pt>
                <c:pt idx="3">
                  <c:v>因公出国（境）费</c:v>
                </c:pt>
              </c:strCache>
            </c:strRef>
          </c:cat>
          <c:val>
            <c:numRef>
              <c:f>Sheet1!$B$2:$B$5</c:f>
              <c:numCache>
                <c:formatCode>General</c:formatCode>
                <c:ptCount val="4"/>
                <c:pt idx="0">
                  <c:v>40.5</c:v>
                </c:pt>
                <c:pt idx="1">
                  <c:v>10.5</c:v>
                </c:pt>
                <c:pt idx="2">
                  <c:v>30</c:v>
                </c:pt>
                <c:pt idx="3">
                  <c:v>0</c:v>
                </c:pt>
              </c:numCache>
            </c:numRef>
          </c:val>
        </c:ser>
        <c:ser>
          <c:idx val="1"/>
          <c:order val="1"/>
          <c:tx>
            <c:strRef>
              <c:f>Sheet1!$C$1</c:f>
              <c:strCache>
                <c:ptCount val="1"/>
                <c:pt idx="0">
                  <c:v>2021年</c:v>
                </c:pt>
              </c:strCache>
            </c:strRef>
          </c:tx>
          <c:spPr>
            <a:solidFill>
              <a:schemeClr val="accent2"/>
            </a:solidFill>
            <a:ln>
              <a:noFill/>
            </a:ln>
            <a:effectLst/>
          </c:spPr>
          <c:invertIfNegative val="0"/>
          <c:dLbls>
            <c:delete val="1"/>
          </c:dLbls>
          <c:cat>
            <c:strRef>
              <c:f>Sheet1!$A$2:$A$5</c:f>
              <c:strCache>
                <c:ptCount val="4"/>
                <c:pt idx="0">
                  <c:v>三公经费</c:v>
                </c:pt>
                <c:pt idx="1">
                  <c:v>公务接待费</c:v>
                </c:pt>
                <c:pt idx="2">
                  <c:v>公务用车运行维护费</c:v>
                </c:pt>
                <c:pt idx="3">
                  <c:v>因公出国（境）费</c:v>
                </c:pt>
              </c:strCache>
            </c:strRef>
          </c:cat>
          <c:val>
            <c:numRef>
              <c:f>Sheet1!$C$2:$C$5</c:f>
              <c:numCache>
                <c:formatCode>General</c:formatCode>
                <c:ptCount val="4"/>
                <c:pt idx="0">
                  <c:v>40.3</c:v>
                </c:pt>
                <c:pt idx="1">
                  <c:v>10.3</c:v>
                </c:pt>
                <c:pt idx="2">
                  <c:v>30</c:v>
                </c:pt>
                <c:pt idx="3">
                  <c:v>0</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Sheet1!$A$2:$A$5</c:f>
              <c:strCache>
                <c:ptCount val="4"/>
                <c:pt idx="0">
                  <c:v>三公经费</c:v>
                </c:pt>
                <c:pt idx="1">
                  <c:v>公务接待费</c:v>
                </c:pt>
                <c:pt idx="2">
                  <c:v>公务用车运行维护费</c:v>
                </c:pt>
                <c:pt idx="3">
                  <c:v>因公出国（境）费</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19"/>
        <c:overlap val="-27"/>
        <c:axId val="56121768"/>
        <c:axId val="269465786"/>
      </c:barChart>
      <c:catAx>
        <c:axId val="5612176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9465786"/>
        <c:crosses val="autoZero"/>
        <c:auto val="1"/>
        <c:lblAlgn val="ctr"/>
        <c:lblOffset val="100"/>
        <c:noMultiLvlLbl val="0"/>
      </c:catAx>
      <c:valAx>
        <c:axId val="26946578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12176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6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2021-04-16T01:39:00Z</dcterms:created>
  <dc:creator>ぃ晓泓</dc:creator>
  <cp:lastModifiedBy>WPS_1496302462</cp:lastModifiedBy>
  <dcterms:modified xsi:type="dcterms:W3CDTF">2021-04-18T10:54:46Z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A0EAA3992F4241B98D772476B67B53CF</vt:lpwstr>
  </property>
</Properties>
</file>