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b/>
          <w:bCs/>
          <w:sz w:val="36"/>
          <w:szCs w:val="36"/>
        </w:rPr>
      </w:pPr>
    </w:p>
    <w:p>
      <w:pPr>
        <w:jc w:val="center"/>
        <w:rPr>
          <w:rFonts w:ascii="Times New Roman" w:hAnsi="Times New Roman" w:eastAsia="楷体_GB2312"/>
          <w:b/>
          <w:bCs/>
          <w:sz w:val="36"/>
          <w:szCs w:val="36"/>
        </w:rPr>
      </w:pPr>
    </w:p>
    <w:p>
      <w:pPr>
        <w:jc w:val="center"/>
        <w:rPr>
          <w:rFonts w:ascii="Times New Roman" w:hAnsi="Times New Roman" w:eastAsia="楷体_GB2312"/>
          <w:b/>
          <w:bCs/>
          <w:sz w:val="36"/>
          <w:szCs w:val="36"/>
        </w:rPr>
      </w:pPr>
    </w:p>
    <w:p>
      <w:pPr>
        <w:jc w:val="center"/>
        <w:rPr>
          <w:rFonts w:ascii="Times New Roman" w:hAnsi="Times New Roman" w:eastAsia="楷体_GB2312"/>
          <w:b/>
          <w:bCs/>
          <w:sz w:val="36"/>
          <w:szCs w:val="36"/>
        </w:rPr>
      </w:pPr>
    </w:p>
    <w:p>
      <w:pPr>
        <w:jc w:val="center"/>
        <w:rPr>
          <w:rFonts w:ascii="华文中宋" w:hAnsi="华文中宋" w:eastAsia="华文中宋" w:cs="华文中宋"/>
          <w:sz w:val="52"/>
          <w:szCs w:val="52"/>
        </w:rPr>
      </w:pPr>
      <w:r>
        <w:rPr>
          <w:rFonts w:hint="eastAsia" w:ascii="华文中宋" w:hAnsi="华文中宋" w:eastAsia="华文中宋" w:cs="华文中宋"/>
          <w:sz w:val="52"/>
          <w:szCs w:val="52"/>
        </w:rPr>
        <w:t>2020年度内蒙古自治区巴彦淖尔市临河区司法局</w:t>
      </w:r>
      <w:r>
        <w:rPr>
          <w:rFonts w:hint="eastAsia" w:ascii="华文中宋" w:hAnsi="华文中宋" w:eastAsia="华文中宋" w:cs="华文中宋"/>
          <w:sz w:val="52"/>
          <w:szCs w:val="52"/>
          <w:lang w:eastAsia="zh-CN"/>
        </w:rPr>
        <w:t>部门</w:t>
      </w:r>
      <w:r>
        <w:rPr>
          <w:rFonts w:hint="eastAsia" w:ascii="华文中宋" w:hAnsi="华文中宋" w:eastAsia="华文中宋" w:cs="华文中宋"/>
          <w:sz w:val="52"/>
          <w:szCs w:val="52"/>
        </w:rPr>
        <w:t>财务报告</w:t>
      </w:r>
    </w:p>
    <w:p>
      <w:pPr>
        <w:jc w:val="center"/>
        <w:rPr>
          <w:rFonts w:ascii="Times New Roman" w:hAnsi="Times New Roman" w:eastAsia="微软雅黑" w:cs="Times New Roman"/>
          <w:b/>
          <w:bCs/>
          <w:sz w:val="52"/>
          <w:szCs w:val="52"/>
        </w:rPr>
      </w:pPr>
    </w:p>
    <w:p>
      <w:pPr>
        <w:jc w:val="center"/>
        <w:rPr>
          <w:rFonts w:ascii="Times New Roman" w:hAnsi="Times New Roman" w:eastAsia="微软雅黑"/>
          <w:b/>
          <w:bCs/>
          <w:sz w:val="52"/>
          <w:szCs w:val="52"/>
        </w:rPr>
      </w:pPr>
    </w:p>
    <w:p>
      <w:pPr>
        <w:jc w:val="center"/>
        <w:rPr>
          <w:rFonts w:ascii="Times New Roman" w:hAnsi="Times New Roman"/>
          <w:b/>
          <w:bCs/>
          <w:sz w:val="36"/>
          <w:szCs w:val="36"/>
        </w:rPr>
      </w:pPr>
    </w:p>
    <w:p>
      <w:pPr>
        <w:jc w:val="center"/>
        <w:rPr>
          <w:rFonts w:ascii="Times New Roman" w:hAnsi="Times New Roman"/>
          <w:b/>
          <w:bCs/>
          <w:sz w:val="36"/>
          <w:szCs w:val="36"/>
        </w:rPr>
      </w:pPr>
    </w:p>
    <w:p>
      <w:pPr>
        <w:jc w:val="center"/>
        <w:rPr>
          <w:rFonts w:ascii="Times New Roman" w:hAnsi="Times New Roman"/>
          <w:b/>
          <w:bCs/>
          <w:sz w:val="36"/>
          <w:szCs w:val="36"/>
        </w:rPr>
      </w:pPr>
    </w:p>
    <w:p>
      <w:pPr>
        <w:jc w:val="center"/>
        <w:rPr>
          <w:rFonts w:ascii="Times New Roman" w:hAnsi="Times New Roman"/>
          <w:b/>
          <w:bCs/>
          <w:sz w:val="36"/>
          <w:szCs w:val="36"/>
        </w:rPr>
      </w:pPr>
    </w:p>
    <w:p>
      <w:pPr>
        <w:widowControl w:val="0"/>
        <w:ind w:firstLine="960" w:firstLineChars="300"/>
        <w:jc w:val="both"/>
        <w:rPr>
          <w:rFonts w:cs="仿宋_GB2312" w:asciiTheme="minorEastAsia" w:hAnsiTheme="minorEastAsia" w:eastAsiaTheme="minorEastAsia"/>
          <w:bCs/>
          <w:kern w:val="16"/>
          <w:sz w:val="32"/>
          <w:szCs w:val="32"/>
        </w:rPr>
      </w:pPr>
      <w:r>
        <w:rPr>
          <w:rFonts w:hint="eastAsia" w:cs="微软雅黑" w:asciiTheme="minorEastAsia" w:hAnsiTheme="minorEastAsia" w:eastAsiaTheme="minorEastAsia"/>
          <w:bCs/>
          <w:sz w:val="32"/>
          <w:szCs w:val="52"/>
        </w:rPr>
        <w:t>部门</w:t>
      </w:r>
      <w:r>
        <w:rPr>
          <w:rFonts w:hint="eastAsia" w:cs="仿宋_GB2312" w:asciiTheme="minorEastAsia" w:hAnsiTheme="minorEastAsia" w:eastAsiaTheme="minorEastAsia"/>
          <w:bCs/>
          <w:kern w:val="16"/>
          <w:sz w:val="32"/>
          <w:szCs w:val="32"/>
        </w:rPr>
        <w:t>名称：巴彦淖尔市临河区司法局（公章）</w:t>
      </w:r>
    </w:p>
    <w:p>
      <w:pPr>
        <w:widowControl w:val="0"/>
        <w:ind w:firstLine="960" w:firstLineChars="300"/>
        <w:jc w:val="both"/>
        <w:rPr>
          <w:rFonts w:hint="eastAsia" w:cs="仿宋_GB2312" w:asciiTheme="minorEastAsia" w:hAnsiTheme="minorEastAsia" w:eastAsiaTheme="minorEastAsia"/>
          <w:bCs/>
          <w:kern w:val="16"/>
          <w:sz w:val="32"/>
          <w:szCs w:val="32"/>
          <w:lang w:val="en-US" w:eastAsia="zh-CN"/>
        </w:rPr>
      </w:pPr>
      <w:r>
        <w:rPr>
          <w:rFonts w:hint="eastAsia" w:cs="仿宋_GB2312" w:asciiTheme="minorEastAsia" w:hAnsiTheme="minorEastAsia" w:eastAsiaTheme="minorEastAsia"/>
          <w:bCs/>
          <w:kern w:val="16"/>
          <w:sz w:val="32"/>
          <w:szCs w:val="32"/>
        </w:rPr>
        <w:t>单位负责人：</w:t>
      </w:r>
      <w:r>
        <w:rPr>
          <w:rFonts w:hint="eastAsia" w:cs="仿宋_GB2312" w:asciiTheme="minorEastAsia" w:hAnsiTheme="minorEastAsia" w:eastAsiaTheme="minorEastAsia"/>
          <w:bCs/>
          <w:kern w:val="16"/>
          <w:sz w:val="32"/>
          <w:szCs w:val="32"/>
          <w:lang w:eastAsia="zh-CN"/>
        </w:rPr>
        <w:t>杨大千</w:t>
      </w:r>
      <w:r>
        <w:rPr>
          <w:rFonts w:hint="eastAsia" w:cs="仿宋_GB2312" w:asciiTheme="minorEastAsia" w:hAnsiTheme="minorEastAsia" w:eastAsiaTheme="minorEastAsia"/>
          <w:bCs/>
          <w:kern w:val="16"/>
          <w:sz w:val="32"/>
          <w:szCs w:val="32"/>
        </w:rPr>
        <w:t>（签名并盖章）</w:t>
      </w:r>
    </w:p>
    <w:p>
      <w:pPr>
        <w:widowControl w:val="0"/>
        <w:ind w:firstLine="960" w:firstLineChars="300"/>
        <w:jc w:val="both"/>
        <w:rPr>
          <w:rFonts w:hint="eastAsia" w:cs="仿宋_GB2312" w:asciiTheme="minorEastAsia" w:hAnsiTheme="minorEastAsia" w:eastAsiaTheme="minorEastAsia"/>
          <w:bCs/>
          <w:kern w:val="16"/>
          <w:sz w:val="32"/>
          <w:szCs w:val="32"/>
          <w:lang w:eastAsia="zh-CN"/>
        </w:rPr>
      </w:pPr>
      <w:bookmarkStart w:id="0" w:name="_Toc435363359"/>
      <w:bookmarkStart w:id="1" w:name="_Toc503548883"/>
      <w:bookmarkStart w:id="2" w:name="_Toc436083526"/>
      <w:bookmarkStart w:id="3" w:name="_Toc435370952"/>
      <w:bookmarkStart w:id="4" w:name="_Toc435714296"/>
      <w:bookmarkStart w:id="5" w:name="_Toc435362709"/>
      <w:bookmarkStart w:id="6" w:name="_Toc435363575"/>
      <w:bookmarkStart w:id="7" w:name="_Toc435711768"/>
      <w:bookmarkStart w:id="8" w:name="_Toc35452574"/>
      <w:bookmarkStart w:id="9" w:name="_Toc435361710"/>
      <w:bookmarkStart w:id="10" w:name="_Toc435361472"/>
      <w:bookmarkStart w:id="11" w:name="_Toc430698577"/>
      <w:r>
        <w:rPr>
          <w:rFonts w:hint="eastAsia" w:cs="仿宋_GB2312" w:asciiTheme="minorEastAsia" w:hAnsiTheme="minorEastAsia" w:eastAsiaTheme="minorEastAsia"/>
          <w:bCs/>
          <w:kern w:val="16"/>
          <w:sz w:val="32"/>
          <w:szCs w:val="32"/>
        </w:rPr>
        <w:t>财务负责人：</w:t>
      </w:r>
      <w:r>
        <w:rPr>
          <w:rFonts w:hint="eastAsia" w:cs="仿宋_GB2312" w:asciiTheme="minorEastAsia" w:hAnsiTheme="minorEastAsia" w:eastAsiaTheme="minorEastAsia"/>
          <w:bCs/>
          <w:kern w:val="16"/>
          <w:sz w:val="32"/>
          <w:szCs w:val="32"/>
          <w:lang w:eastAsia="zh-CN"/>
        </w:rPr>
        <w:t>高娟</w:t>
      </w:r>
      <w:r>
        <w:rPr>
          <w:rFonts w:hint="eastAsia" w:cs="仿宋_GB2312" w:asciiTheme="minorEastAsia" w:hAnsiTheme="minorEastAsia" w:eastAsiaTheme="minorEastAsia"/>
          <w:bCs/>
          <w:kern w:val="16"/>
          <w:sz w:val="32"/>
          <w:szCs w:val="32"/>
        </w:rPr>
        <w:t>（签名并盖章）</w:t>
      </w:r>
    </w:p>
    <w:p>
      <w:pPr>
        <w:widowControl w:val="0"/>
        <w:ind w:firstLine="960" w:firstLineChars="300"/>
        <w:jc w:val="both"/>
        <w:rPr>
          <w:rFonts w:cs="仿宋_GB2312" w:asciiTheme="minorEastAsia" w:hAnsiTheme="minorEastAsia" w:eastAsiaTheme="minorEastAsia"/>
          <w:bCs/>
          <w:kern w:val="16"/>
          <w:sz w:val="32"/>
          <w:szCs w:val="32"/>
        </w:rPr>
      </w:pPr>
      <w:r>
        <w:rPr>
          <w:rFonts w:hint="eastAsia" w:cs="仿宋_GB2312" w:asciiTheme="minorEastAsia" w:hAnsiTheme="minorEastAsia" w:eastAsiaTheme="minorEastAsia"/>
          <w:bCs/>
          <w:kern w:val="16"/>
          <w:sz w:val="32"/>
          <w:szCs w:val="32"/>
        </w:rPr>
        <w:t>编制人：郭敏（签章）</w:t>
      </w:r>
    </w:p>
    <w:p>
      <w:pPr>
        <w:widowControl w:val="0"/>
        <w:ind w:firstLine="960" w:firstLineChars="300"/>
        <w:jc w:val="both"/>
        <w:rPr>
          <w:rFonts w:cs="仿宋_GB2312" w:asciiTheme="minorEastAsia" w:hAnsiTheme="minorEastAsia" w:eastAsiaTheme="minorEastAsia"/>
          <w:bCs/>
          <w:kern w:val="16"/>
          <w:sz w:val="32"/>
          <w:szCs w:val="32"/>
        </w:rPr>
      </w:pPr>
      <w:r>
        <w:rPr>
          <w:rFonts w:hint="eastAsia" w:cs="仿宋_GB2312" w:asciiTheme="minorEastAsia" w:hAnsiTheme="minorEastAsia" w:eastAsiaTheme="minorEastAsia"/>
          <w:bCs/>
          <w:kern w:val="16"/>
          <w:sz w:val="32"/>
          <w:szCs w:val="32"/>
        </w:rPr>
        <w:t>报送日期：202</w:t>
      </w:r>
      <w:r>
        <w:rPr>
          <w:rFonts w:hint="eastAsia" w:cs="仿宋_GB2312" w:asciiTheme="minorEastAsia" w:hAnsiTheme="minorEastAsia" w:eastAsiaTheme="minorEastAsia"/>
          <w:bCs/>
          <w:kern w:val="16"/>
          <w:sz w:val="32"/>
          <w:szCs w:val="32"/>
          <w:lang w:val="en-US" w:eastAsia="zh-CN"/>
        </w:rPr>
        <w:t>1</w:t>
      </w:r>
      <w:r>
        <w:rPr>
          <w:rFonts w:hint="eastAsia" w:cs="仿宋_GB2312" w:asciiTheme="minorEastAsia" w:hAnsiTheme="minorEastAsia" w:eastAsiaTheme="minorEastAsia"/>
          <w:bCs/>
          <w:kern w:val="16"/>
          <w:sz w:val="32"/>
          <w:szCs w:val="32"/>
        </w:rPr>
        <w:t>年</w:t>
      </w:r>
      <w:r>
        <w:rPr>
          <w:rFonts w:hint="eastAsia" w:cs="仿宋_GB2312" w:asciiTheme="minorEastAsia" w:hAnsiTheme="minorEastAsia" w:eastAsiaTheme="minorEastAsia"/>
          <w:bCs/>
          <w:kern w:val="16"/>
          <w:sz w:val="32"/>
          <w:szCs w:val="32"/>
          <w:lang w:val="en-US" w:eastAsia="zh-CN"/>
        </w:rPr>
        <w:t>4</w:t>
      </w:r>
      <w:r>
        <w:rPr>
          <w:rFonts w:hint="eastAsia" w:cs="仿宋_GB2312" w:asciiTheme="minorEastAsia" w:hAnsiTheme="minorEastAsia" w:eastAsiaTheme="minorEastAsia"/>
          <w:bCs/>
          <w:kern w:val="16"/>
          <w:sz w:val="32"/>
          <w:szCs w:val="32"/>
        </w:rPr>
        <w:t>月</w:t>
      </w:r>
    </w:p>
    <w:p>
      <w:pPr>
        <w:pStyle w:val="120"/>
        <w:ind w:firstLine="198"/>
        <w:outlineLvl w:val="3"/>
        <w:rPr>
          <w:sz w:val="36"/>
        </w:rPr>
        <w:sectPr>
          <w:headerReference r:id="rId6" w:type="first"/>
          <w:footerReference r:id="rId9" w:type="first"/>
          <w:headerReference r:id="rId4" w:type="default"/>
          <w:footerReference r:id="rId7" w:type="default"/>
          <w:headerReference r:id="rId5" w:type="even"/>
          <w:footerReference r:id="rId8" w:type="even"/>
          <w:footnotePr>
            <w:numFmt w:val="decimalEnclosedCircleChinese"/>
          </w:footnotePr>
          <w:pgSz w:w="11906" w:h="16838"/>
          <w:pgMar w:top="1440" w:right="1797" w:bottom="1440" w:left="1797" w:header="851" w:footer="992" w:gutter="0"/>
          <w:pgNumType w:start="1"/>
          <w:cols w:space="425" w:num="1"/>
          <w:titlePg/>
          <w:docGrid w:type="lines" w:linePitch="326" w:charSpace="0"/>
        </w:sectPr>
      </w:pPr>
    </w:p>
    <w:p>
      <w:pPr>
        <w:pStyle w:val="120"/>
        <w:ind w:firstLine="198"/>
        <w:outlineLvl w:val="9"/>
        <w:rPr>
          <w:sz w:val="36"/>
        </w:rPr>
      </w:pPr>
      <w:r>
        <w:rPr>
          <w:rFonts w:hint="eastAsia"/>
          <w:sz w:val="36"/>
        </w:rPr>
        <w:t>目录</w:t>
      </w:r>
      <w:bookmarkEnd w:id="0"/>
      <w:bookmarkEnd w:id="1"/>
      <w:bookmarkEnd w:id="2"/>
      <w:bookmarkEnd w:id="3"/>
      <w:bookmarkEnd w:id="4"/>
      <w:bookmarkEnd w:id="5"/>
      <w:bookmarkEnd w:id="6"/>
      <w:bookmarkEnd w:id="7"/>
      <w:bookmarkEnd w:id="8"/>
    </w:p>
    <w:bookmarkEnd w:id="9"/>
    <w:bookmarkEnd w:id="10"/>
    <w:bookmarkEnd w:id="11"/>
    <w:p>
      <w:pPr>
        <w:pStyle w:val="24"/>
        <w:tabs>
          <w:tab w:val="right" w:leader="dot" w:pos="8302"/>
        </w:tabs>
        <w:spacing w:before="0" w:after="0" w:line="360" w:lineRule="auto"/>
        <w:rPr>
          <w:rFonts w:ascii="黑体" w:hAnsi="黑体" w:eastAsia="黑体" w:cstheme="minorBidi"/>
          <w:b w:val="0"/>
          <w:bCs w:val="0"/>
          <w:caps w:val="0"/>
          <w:kern w:val="2"/>
          <w:sz w:val="24"/>
          <w:szCs w:val="24"/>
        </w:rPr>
      </w:pPr>
      <w:r>
        <w:rPr>
          <w:rFonts w:asciiTheme="minorEastAsia" w:hAnsiTheme="minorEastAsia" w:eastAsiaTheme="minorEastAsia"/>
          <w:b w:val="0"/>
          <w:smallCaps/>
          <w:sz w:val="28"/>
          <w:szCs w:val="28"/>
        </w:rPr>
        <w:fldChar w:fldCharType="begin"/>
      </w:r>
      <w:r>
        <w:rPr>
          <w:rFonts w:asciiTheme="minorEastAsia" w:hAnsiTheme="minorEastAsia" w:eastAsiaTheme="minorEastAsia"/>
          <w:b w:val="0"/>
          <w:smallCaps/>
          <w:sz w:val="28"/>
          <w:szCs w:val="28"/>
        </w:rPr>
        <w:instrText xml:space="preserve"> TOC \o "1-3" \h \z \u </w:instrText>
      </w:r>
      <w:r>
        <w:rPr>
          <w:rFonts w:asciiTheme="minorEastAsia" w:hAnsiTheme="minorEastAsia" w:eastAsiaTheme="minorEastAsia"/>
          <w:b w:val="0"/>
          <w:smallCaps/>
          <w:sz w:val="28"/>
          <w:szCs w:val="28"/>
        </w:rPr>
        <w:fldChar w:fldCharType="separate"/>
      </w:r>
      <w:r>
        <w:fldChar w:fldCharType="begin"/>
      </w:r>
      <w:r>
        <w:instrText xml:space="preserve"> HYPERLINK \l "_Toc35500801" </w:instrText>
      </w:r>
      <w:r>
        <w:fldChar w:fldCharType="separate"/>
      </w:r>
      <w:r>
        <w:rPr>
          <w:rStyle w:val="41"/>
          <w:rFonts w:ascii="黑体" w:hAnsi="黑体" w:eastAsia="黑体"/>
          <w:sz w:val="24"/>
          <w:szCs w:val="24"/>
        </w:rPr>
        <w:t>一、政府部门财务报表</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_Toc35500801 \h </w:instrText>
      </w:r>
      <w:r>
        <w:rPr>
          <w:rFonts w:ascii="黑体" w:hAnsi="黑体" w:eastAsia="黑体"/>
          <w:sz w:val="24"/>
          <w:szCs w:val="24"/>
        </w:rPr>
        <w:fldChar w:fldCharType="separate"/>
      </w:r>
      <w:r>
        <w:rPr>
          <w:rFonts w:ascii="黑体" w:hAnsi="黑体" w:eastAsia="黑体"/>
          <w:sz w:val="24"/>
          <w:szCs w:val="24"/>
        </w:rPr>
        <w:t>3</w:t>
      </w:r>
      <w:r>
        <w:rPr>
          <w:rFonts w:ascii="黑体" w:hAnsi="黑体" w:eastAsia="黑体"/>
          <w:sz w:val="24"/>
          <w:szCs w:val="24"/>
        </w:rPr>
        <w:fldChar w:fldCharType="end"/>
      </w:r>
      <w:r>
        <w:rPr>
          <w:rFonts w:ascii="黑体" w:hAnsi="黑体" w:eastAsia="黑体"/>
          <w:sz w:val="24"/>
          <w:szCs w:val="24"/>
        </w:rPr>
        <w:fldChar w:fldCharType="end"/>
      </w:r>
    </w:p>
    <w:p>
      <w:pPr>
        <w:pStyle w:val="29"/>
        <w:tabs>
          <w:tab w:val="right" w:leader="dot" w:pos="8302"/>
        </w:tabs>
        <w:spacing w:line="360" w:lineRule="auto"/>
        <w:rPr>
          <w:rFonts w:ascii="宋体" w:hAnsi="宋体" w:cstheme="minorBidi"/>
          <w:smallCaps w:val="0"/>
          <w:kern w:val="2"/>
          <w:sz w:val="24"/>
          <w:szCs w:val="24"/>
        </w:rPr>
      </w:pPr>
      <w:r>
        <w:fldChar w:fldCharType="begin"/>
      </w:r>
      <w:r>
        <w:instrText xml:space="preserve"> HYPERLINK \l "_Toc35500802" </w:instrText>
      </w:r>
      <w:r>
        <w:fldChar w:fldCharType="separate"/>
      </w:r>
      <w:r>
        <w:rPr>
          <w:rStyle w:val="41"/>
          <w:rFonts w:ascii="宋体" w:hAnsi="宋体"/>
          <w:sz w:val="24"/>
          <w:szCs w:val="24"/>
        </w:rPr>
        <w:t>（一）政府部门会计报表</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_Toc35500802 \h </w:instrText>
      </w:r>
      <w:r>
        <w:rPr>
          <w:rFonts w:ascii="宋体" w:hAnsi="宋体"/>
          <w:sz w:val="24"/>
          <w:szCs w:val="24"/>
        </w:rPr>
        <w:fldChar w:fldCharType="separate"/>
      </w:r>
      <w:r>
        <w:rPr>
          <w:rFonts w:ascii="宋体" w:hAnsi="宋体"/>
          <w:sz w:val="24"/>
          <w:szCs w:val="24"/>
        </w:rPr>
        <w:t>3</w:t>
      </w:r>
      <w:r>
        <w:rPr>
          <w:rFonts w:ascii="宋体" w:hAnsi="宋体"/>
          <w:sz w:val="24"/>
          <w:szCs w:val="24"/>
        </w:rPr>
        <w:fldChar w:fldCharType="end"/>
      </w:r>
      <w:r>
        <w:rPr>
          <w:rFonts w:ascii="宋体" w:hAnsi="宋体"/>
          <w:sz w:val="24"/>
          <w:szCs w:val="24"/>
        </w:rPr>
        <w:fldChar w:fldCharType="end"/>
      </w:r>
    </w:p>
    <w:p>
      <w:pPr>
        <w:pStyle w:val="18"/>
        <w:tabs>
          <w:tab w:val="right" w:leader="dot" w:pos="8302"/>
        </w:tabs>
        <w:spacing w:line="360" w:lineRule="auto"/>
        <w:rPr>
          <w:rFonts w:ascii="宋体" w:hAnsi="宋体" w:cstheme="minorBidi"/>
          <w:i w:val="0"/>
          <w:iCs w:val="0"/>
          <w:kern w:val="2"/>
          <w:sz w:val="24"/>
          <w:szCs w:val="24"/>
        </w:rPr>
      </w:pPr>
      <w:r>
        <w:fldChar w:fldCharType="begin"/>
      </w:r>
      <w:r>
        <w:instrText xml:space="preserve"> HYPERLINK \l "_Toc35500803" </w:instrText>
      </w:r>
      <w:r>
        <w:fldChar w:fldCharType="separate"/>
      </w:r>
      <w:r>
        <w:rPr>
          <w:rStyle w:val="41"/>
          <w:rFonts w:ascii="宋体" w:hAnsi="宋体"/>
          <w:bCs/>
          <w:i w:val="0"/>
          <w:sz w:val="24"/>
          <w:szCs w:val="24"/>
        </w:rPr>
        <w:t>资产负债表</w:t>
      </w:r>
      <w:r>
        <w:rPr>
          <w:rFonts w:ascii="宋体" w:hAnsi="宋体"/>
          <w:i w:val="0"/>
          <w:sz w:val="24"/>
          <w:szCs w:val="24"/>
        </w:rPr>
        <w:tab/>
      </w:r>
      <w:r>
        <w:rPr>
          <w:rFonts w:ascii="宋体" w:hAnsi="宋体"/>
          <w:i w:val="0"/>
          <w:sz w:val="24"/>
          <w:szCs w:val="24"/>
        </w:rPr>
        <w:fldChar w:fldCharType="begin"/>
      </w:r>
      <w:r>
        <w:rPr>
          <w:rFonts w:ascii="宋体" w:hAnsi="宋体"/>
          <w:i w:val="0"/>
          <w:sz w:val="24"/>
          <w:szCs w:val="24"/>
        </w:rPr>
        <w:instrText xml:space="preserve"> PAGEREF _Toc35500803 \h </w:instrText>
      </w:r>
      <w:r>
        <w:rPr>
          <w:rFonts w:ascii="宋体" w:hAnsi="宋体"/>
          <w:i w:val="0"/>
          <w:sz w:val="24"/>
          <w:szCs w:val="24"/>
        </w:rPr>
        <w:fldChar w:fldCharType="separate"/>
      </w:r>
      <w:r>
        <w:rPr>
          <w:rFonts w:ascii="宋体" w:hAnsi="宋体"/>
          <w:i w:val="0"/>
          <w:sz w:val="24"/>
          <w:szCs w:val="24"/>
        </w:rPr>
        <w:t>3</w:t>
      </w:r>
      <w:r>
        <w:rPr>
          <w:rFonts w:ascii="宋体" w:hAnsi="宋体"/>
          <w:i w:val="0"/>
          <w:sz w:val="24"/>
          <w:szCs w:val="24"/>
        </w:rPr>
        <w:fldChar w:fldCharType="end"/>
      </w:r>
      <w:r>
        <w:rPr>
          <w:rFonts w:ascii="宋体" w:hAnsi="宋体"/>
          <w:i w:val="0"/>
          <w:sz w:val="24"/>
          <w:szCs w:val="24"/>
        </w:rPr>
        <w:fldChar w:fldCharType="end"/>
      </w:r>
    </w:p>
    <w:p>
      <w:pPr>
        <w:pStyle w:val="18"/>
        <w:tabs>
          <w:tab w:val="right" w:leader="dot" w:pos="8302"/>
        </w:tabs>
        <w:spacing w:line="360" w:lineRule="auto"/>
        <w:rPr>
          <w:rFonts w:ascii="宋体" w:hAnsi="宋体" w:cstheme="minorBidi"/>
          <w:i w:val="0"/>
          <w:iCs w:val="0"/>
          <w:kern w:val="2"/>
          <w:sz w:val="24"/>
          <w:szCs w:val="24"/>
        </w:rPr>
      </w:pPr>
      <w:r>
        <w:fldChar w:fldCharType="begin"/>
      </w:r>
      <w:r>
        <w:instrText xml:space="preserve"> HYPERLINK \l "_Toc35500804" </w:instrText>
      </w:r>
      <w:r>
        <w:fldChar w:fldCharType="separate"/>
      </w:r>
      <w:r>
        <w:rPr>
          <w:rStyle w:val="41"/>
          <w:rFonts w:ascii="宋体" w:hAnsi="宋体"/>
          <w:bCs/>
          <w:i w:val="0"/>
          <w:sz w:val="24"/>
          <w:szCs w:val="24"/>
        </w:rPr>
        <w:t>收入费用表（1）</w:t>
      </w:r>
      <w:r>
        <w:rPr>
          <w:rFonts w:ascii="宋体" w:hAnsi="宋体"/>
          <w:i w:val="0"/>
          <w:sz w:val="24"/>
          <w:szCs w:val="24"/>
        </w:rPr>
        <w:tab/>
      </w:r>
      <w:r>
        <w:rPr>
          <w:rFonts w:ascii="宋体" w:hAnsi="宋体"/>
          <w:i w:val="0"/>
          <w:sz w:val="24"/>
          <w:szCs w:val="24"/>
        </w:rPr>
        <w:fldChar w:fldCharType="begin"/>
      </w:r>
      <w:r>
        <w:rPr>
          <w:rFonts w:ascii="宋体" w:hAnsi="宋体"/>
          <w:i w:val="0"/>
          <w:sz w:val="24"/>
          <w:szCs w:val="24"/>
        </w:rPr>
        <w:instrText xml:space="preserve"> PAGEREF _Toc35500804 \h </w:instrText>
      </w:r>
      <w:r>
        <w:rPr>
          <w:rFonts w:ascii="宋体" w:hAnsi="宋体"/>
          <w:i w:val="0"/>
          <w:sz w:val="24"/>
          <w:szCs w:val="24"/>
        </w:rPr>
        <w:fldChar w:fldCharType="separate"/>
      </w:r>
      <w:r>
        <w:rPr>
          <w:rFonts w:ascii="宋体" w:hAnsi="宋体"/>
          <w:i w:val="0"/>
          <w:sz w:val="24"/>
          <w:szCs w:val="24"/>
        </w:rPr>
        <w:t>5</w:t>
      </w:r>
      <w:r>
        <w:rPr>
          <w:rFonts w:ascii="宋体" w:hAnsi="宋体"/>
          <w:i w:val="0"/>
          <w:sz w:val="24"/>
          <w:szCs w:val="24"/>
        </w:rPr>
        <w:fldChar w:fldCharType="end"/>
      </w:r>
      <w:r>
        <w:rPr>
          <w:rFonts w:ascii="宋体" w:hAnsi="宋体"/>
          <w:i w:val="0"/>
          <w:sz w:val="24"/>
          <w:szCs w:val="24"/>
        </w:rPr>
        <w:fldChar w:fldCharType="end"/>
      </w:r>
    </w:p>
    <w:p>
      <w:pPr>
        <w:pStyle w:val="18"/>
        <w:tabs>
          <w:tab w:val="right" w:leader="dot" w:pos="8302"/>
        </w:tabs>
        <w:spacing w:line="360" w:lineRule="auto"/>
        <w:rPr>
          <w:rFonts w:ascii="宋体" w:hAnsi="宋体" w:cstheme="minorBidi"/>
          <w:i w:val="0"/>
          <w:iCs w:val="0"/>
          <w:kern w:val="2"/>
          <w:sz w:val="24"/>
          <w:szCs w:val="24"/>
        </w:rPr>
      </w:pPr>
      <w:r>
        <w:fldChar w:fldCharType="begin"/>
      </w:r>
      <w:r>
        <w:instrText xml:space="preserve"> HYPERLINK \l "_Toc35500805" </w:instrText>
      </w:r>
      <w:r>
        <w:fldChar w:fldCharType="separate"/>
      </w:r>
      <w:r>
        <w:rPr>
          <w:rStyle w:val="41"/>
          <w:rFonts w:ascii="宋体" w:hAnsi="宋体"/>
          <w:bCs/>
          <w:i w:val="0"/>
          <w:sz w:val="24"/>
          <w:szCs w:val="24"/>
        </w:rPr>
        <w:t>收入费用表（2）</w:t>
      </w:r>
      <w:r>
        <w:rPr>
          <w:rFonts w:ascii="宋体" w:hAnsi="宋体"/>
          <w:i w:val="0"/>
          <w:sz w:val="24"/>
          <w:szCs w:val="24"/>
        </w:rPr>
        <w:tab/>
      </w:r>
      <w:r>
        <w:rPr>
          <w:rFonts w:ascii="宋体" w:hAnsi="宋体"/>
          <w:i w:val="0"/>
          <w:sz w:val="24"/>
          <w:szCs w:val="24"/>
        </w:rPr>
        <w:fldChar w:fldCharType="begin"/>
      </w:r>
      <w:r>
        <w:rPr>
          <w:rFonts w:ascii="宋体" w:hAnsi="宋体"/>
          <w:i w:val="0"/>
          <w:sz w:val="24"/>
          <w:szCs w:val="24"/>
        </w:rPr>
        <w:instrText xml:space="preserve"> PAGEREF _Toc35500805 \h </w:instrText>
      </w:r>
      <w:r>
        <w:rPr>
          <w:rFonts w:ascii="宋体" w:hAnsi="宋体"/>
          <w:i w:val="0"/>
          <w:sz w:val="24"/>
          <w:szCs w:val="24"/>
        </w:rPr>
        <w:fldChar w:fldCharType="separate"/>
      </w:r>
      <w:r>
        <w:rPr>
          <w:rFonts w:ascii="宋体" w:hAnsi="宋体"/>
          <w:i w:val="0"/>
          <w:sz w:val="24"/>
          <w:szCs w:val="24"/>
        </w:rPr>
        <w:t>5</w:t>
      </w:r>
      <w:r>
        <w:rPr>
          <w:rFonts w:ascii="宋体" w:hAnsi="宋体"/>
          <w:i w:val="0"/>
          <w:sz w:val="24"/>
          <w:szCs w:val="24"/>
        </w:rPr>
        <w:fldChar w:fldCharType="end"/>
      </w:r>
      <w:r>
        <w:rPr>
          <w:rFonts w:ascii="宋体" w:hAnsi="宋体"/>
          <w:i w:val="0"/>
          <w:sz w:val="24"/>
          <w:szCs w:val="24"/>
        </w:rPr>
        <w:fldChar w:fldCharType="end"/>
      </w:r>
    </w:p>
    <w:p>
      <w:pPr>
        <w:pStyle w:val="29"/>
        <w:tabs>
          <w:tab w:val="right" w:leader="dot" w:pos="8302"/>
        </w:tabs>
        <w:spacing w:line="360" w:lineRule="auto"/>
        <w:rPr>
          <w:rFonts w:ascii="宋体" w:hAnsi="宋体" w:cstheme="minorBidi"/>
          <w:smallCaps w:val="0"/>
          <w:kern w:val="2"/>
          <w:sz w:val="24"/>
          <w:szCs w:val="24"/>
        </w:rPr>
      </w:pPr>
      <w:r>
        <w:fldChar w:fldCharType="begin"/>
      </w:r>
      <w:r>
        <w:instrText xml:space="preserve"> HYPERLINK \l "_Toc35500806" </w:instrText>
      </w:r>
      <w:r>
        <w:fldChar w:fldCharType="separate"/>
      </w:r>
      <w:r>
        <w:rPr>
          <w:rStyle w:val="41"/>
          <w:rFonts w:ascii="宋体" w:hAnsi="宋体"/>
          <w:sz w:val="24"/>
          <w:szCs w:val="24"/>
        </w:rPr>
        <w:t>（二）政府部门会计报表附注</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_Toc35500806 \h </w:instrText>
      </w:r>
      <w:r>
        <w:rPr>
          <w:rFonts w:ascii="宋体" w:hAnsi="宋体"/>
          <w:sz w:val="24"/>
          <w:szCs w:val="24"/>
        </w:rPr>
        <w:fldChar w:fldCharType="separate"/>
      </w:r>
      <w:r>
        <w:rPr>
          <w:rFonts w:ascii="宋体" w:hAnsi="宋体"/>
          <w:sz w:val="24"/>
          <w:szCs w:val="24"/>
        </w:rPr>
        <w:t>7</w:t>
      </w:r>
      <w:r>
        <w:rPr>
          <w:rFonts w:ascii="宋体" w:hAnsi="宋体"/>
          <w:sz w:val="24"/>
          <w:szCs w:val="24"/>
        </w:rPr>
        <w:fldChar w:fldCharType="end"/>
      </w:r>
      <w:r>
        <w:rPr>
          <w:rFonts w:ascii="宋体" w:hAnsi="宋体"/>
          <w:sz w:val="24"/>
          <w:szCs w:val="24"/>
        </w:rPr>
        <w:fldChar w:fldCharType="end"/>
      </w:r>
    </w:p>
    <w:p>
      <w:pPr>
        <w:pStyle w:val="18"/>
        <w:tabs>
          <w:tab w:val="right" w:leader="dot" w:pos="8302"/>
        </w:tabs>
        <w:spacing w:line="360" w:lineRule="auto"/>
        <w:rPr>
          <w:rFonts w:ascii="宋体" w:hAnsi="宋体" w:cstheme="minorBidi"/>
          <w:i w:val="0"/>
          <w:iCs w:val="0"/>
          <w:kern w:val="2"/>
          <w:sz w:val="24"/>
          <w:szCs w:val="24"/>
        </w:rPr>
      </w:pPr>
      <w:r>
        <w:fldChar w:fldCharType="begin"/>
      </w:r>
      <w:r>
        <w:instrText xml:space="preserve"> HYPERLINK \l "_Toc35500807" </w:instrText>
      </w:r>
      <w:r>
        <w:fldChar w:fldCharType="separate"/>
      </w:r>
      <w:r>
        <w:rPr>
          <w:rStyle w:val="41"/>
          <w:rFonts w:ascii="宋体" w:hAnsi="宋体"/>
          <w:i w:val="0"/>
          <w:sz w:val="24"/>
          <w:szCs w:val="24"/>
        </w:rPr>
        <w:t>1.会计报表编制基础。</w:t>
      </w:r>
      <w:r>
        <w:rPr>
          <w:rFonts w:ascii="宋体" w:hAnsi="宋体"/>
          <w:i w:val="0"/>
          <w:sz w:val="24"/>
          <w:szCs w:val="24"/>
        </w:rPr>
        <w:tab/>
      </w:r>
      <w:r>
        <w:rPr>
          <w:rFonts w:ascii="宋体" w:hAnsi="宋体"/>
          <w:i w:val="0"/>
          <w:sz w:val="24"/>
          <w:szCs w:val="24"/>
        </w:rPr>
        <w:fldChar w:fldCharType="begin"/>
      </w:r>
      <w:r>
        <w:rPr>
          <w:rFonts w:ascii="宋体" w:hAnsi="宋体"/>
          <w:i w:val="0"/>
          <w:sz w:val="24"/>
          <w:szCs w:val="24"/>
        </w:rPr>
        <w:instrText xml:space="preserve"> PAGEREF _Toc35500807 \h </w:instrText>
      </w:r>
      <w:r>
        <w:rPr>
          <w:rFonts w:ascii="宋体" w:hAnsi="宋体"/>
          <w:i w:val="0"/>
          <w:sz w:val="24"/>
          <w:szCs w:val="24"/>
        </w:rPr>
        <w:fldChar w:fldCharType="separate"/>
      </w:r>
      <w:r>
        <w:rPr>
          <w:rFonts w:ascii="宋体" w:hAnsi="宋体"/>
          <w:i w:val="0"/>
          <w:sz w:val="24"/>
          <w:szCs w:val="24"/>
        </w:rPr>
        <w:t>7</w:t>
      </w:r>
      <w:r>
        <w:rPr>
          <w:rFonts w:ascii="宋体" w:hAnsi="宋体"/>
          <w:i w:val="0"/>
          <w:sz w:val="24"/>
          <w:szCs w:val="24"/>
        </w:rPr>
        <w:fldChar w:fldCharType="end"/>
      </w:r>
      <w:r>
        <w:rPr>
          <w:rFonts w:ascii="宋体" w:hAnsi="宋体"/>
          <w:i w:val="0"/>
          <w:sz w:val="24"/>
          <w:szCs w:val="24"/>
        </w:rPr>
        <w:fldChar w:fldCharType="end"/>
      </w:r>
    </w:p>
    <w:p>
      <w:pPr>
        <w:pStyle w:val="18"/>
        <w:tabs>
          <w:tab w:val="right" w:leader="dot" w:pos="8302"/>
        </w:tabs>
        <w:spacing w:line="360" w:lineRule="auto"/>
        <w:rPr>
          <w:rFonts w:ascii="宋体" w:hAnsi="宋体" w:cstheme="minorBidi"/>
          <w:i w:val="0"/>
          <w:iCs w:val="0"/>
          <w:kern w:val="2"/>
          <w:sz w:val="24"/>
          <w:szCs w:val="24"/>
        </w:rPr>
      </w:pPr>
      <w:r>
        <w:fldChar w:fldCharType="begin"/>
      </w:r>
      <w:r>
        <w:instrText xml:space="preserve"> HYPERLINK \l "_Toc35500808" </w:instrText>
      </w:r>
      <w:r>
        <w:fldChar w:fldCharType="separate"/>
      </w:r>
      <w:r>
        <w:rPr>
          <w:rStyle w:val="41"/>
          <w:rFonts w:ascii="宋体" w:hAnsi="宋体"/>
          <w:i w:val="0"/>
          <w:sz w:val="24"/>
          <w:szCs w:val="24"/>
        </w:rPr>
        <w:t>2.遵循相关制度规定的声明。</w:t>
      </w:r>
      <w:r>
        <w:rPr>
          <w:rFonts w:ascii="宋体" w:hAnsi="宋体"/>
          <w:i w:val="0"/>
          <w:sz w:val="24"/>
          <w:szCs w:val="24"/>
        </w:rPr>
        <w:tab/>
      </w:r>
      <w:r>
        <w:rPr>
          <w:rFonts w:ascii="宋体" w:hAnsi="宋体"/>
          <w:i w:val="0"/>
          <w:sz w:val="24"/>
          <w:szCs w:val="24"/>
        </w:rPr>
        <w:fldChar w:fldCharType="begin"/>
      </w:r>
      <w:r>
        <w:rPr>
          <w:rFonts w:ascii="宋体" w:hAnsi="宋体"/>
          <w:i w:val="0"/>
          <w:sz w:val="24"/>
          <w:szCs w:val="24"/>
        </w:rPr>
        <w:instrText xml:space="preserve"> PAGEREF _Toc35500808 \h </w:instrText>
      </w:r>
      <w:r>
        <w:rPr>
          <w:rFonts w:ascii="宋体" w:hAnsi="宋体"/>
          <w:i w:val="0"/>
          <w:sz w:val="24"/>
          <w:szCs w:val="24"/>
        </w:rPr>
        <w:fldChar w:fldCharType="separate"/>
      </w:r>
      <w:r>
        <w:rPr>
          <w:rFonts w:ascii="宋体" w:hAnsi="宋体"/>
          <w:i w:val="0"/>
          <w:sz w:val="24"/>
          <w:szCs w:val="24"/>
        </w:rPr>
        <w:t>7</w:t>
      </w:r>
      <w:r>
        <w:rPr>
          <w:rFonts w:ascii="宋体" w:hAnsi="宋体"/>
          <w:i w:val="0"/>
          <w:sz w:val="24"/>
          <w:szCs w:val="24"/>
        </w:rPr>
        <w:fldChar w:fldCharType="end"/>
      </w:r>
      <w:r>
        <w:rPr>
          <w:rFonts w:ascii="宋体" w:hAnsi="宋体"/>
          <w:i w:val="0"/>
          <w:sz w:val="24"/>
          <w:szCs w:val="24"/>
        </w:rPr>
        <w:fldChar w:fldCharType="end"/>
      </w:r>
    </w:p>
    <w:p>
      <w:pPr>
        <w:pStyle w:val="18"/>
        <w:tabs>
          <w:tab w:val="right" w:leader="dot" w:pos="8302"/>
        </w:tabs>
        <w:spacing w:line="360" w:lineRule="auto"/>
        <w:rPr>
          <w:rFonts w:ascii="宋体" w:hAnsi="宋体" w:cstheme="minorBidi"/>
          <w:i w:val="0"/>
          <w:iCs w:val="0"/>
          <w:kern w:val="2"/>
          <w:sz w:val="24"/>
          <w:szCs w:val="24"/>
        </w:rPr>
      </w:pPr>
      <w:r>
        <w:fldChar w:fldCharType="begin"/>
      </w:r>
      <w:r>
        <w:instrText xml:space="preserve"> HYPERLINK \l "_Toc35500809" </w:instrText>
      </w:r>
      <w:r>
        <w:fldChar w:fldCharType="separate"/>
      </w:r>
      <w:r>
        <w:rPr>
          <w:rStyle w:val="41"/>
          <w:rFonts w:ascii="宋体" w:hAnsi="宋体"/>
          <w:i w:val="0"/>
          <w:sz w:val="24"/>
          <w:szCs w:val="24"/>
        </w:rPr>
        <w:t>3.合并范围。</w:t>
      </w:r>
      <w:r>
        <w:rPr>
          <w:rFonts w:ascii="宋体" w:hAnsi="宋体"/>
          <w:i w:val="0"/>
          <w:sz w:val="24"/>
          <w:szCs w:val="24"/>
        </w:rPr>
        <w:tab/>
      </w:r>
      <w:r>
        <w:rPr>
          <w:rFonts w:ascii="宋体" w:hAnsi="宋体"/>
          <w:i w:val="0"/>
          <w:sz w:val="24"/>
          <w:szCs w:val="24"/>
        </w:rPr>
        <w:fldChar w:fldCharType="begin"/>
      </w:r>
      <w:r>
        <w:rPr>
          <w:rFonts w:ascii="宋体" w:hAnsi="宋体"/>
          <w:i w:val="0"/>
          <w:sz w:val="24"/>
          <w:szCs w:val="24"/>
        </w:rPr>
        <w:instrText xml:space="preserve"> PAGEREF _Toc35500809 \h </w:instrText>
      </w:r>
      <w:r>
        <w:rPr>
          <w:rFonts w:ascii="宋体" w:hAnsi="宋体"/>
          <w:i w:val="0"/>
          <w:sz w:val="24"/>
          <w:szCs w:val="24"/>
        </w:rPr>
        <w:fldChar w:fldCharType="separate"/>
      </w:r>
      <w:r>
        <w:rPr>
          <w:rFonts w:ascii="宋体" w:hAnsi="宋体"/>
          <w:i w:val="0"/>
          <w:sz w:val="24"/>
          <w:szCs w:val="24"/>
        </w:rPr>
        <w:t>7</w:t>
      </w:r>
      <w:r>
        <w:rPr>
          <w:rFonts w:ascii="宋体" w:hAnsi="宋体"/>
          <w:i w:val="0"/>
          <w:sz w:val="24"/>
          <w:szCs w:val="24"/>
        </w:rPr>
        <w:fldChar w:fldCharType="end"/>
      </w:r>
      <w:r>
        <w:rPr>
          <w:rFonts w:ascii="宋体" w:hAnsi="宋体"/>
          <w:i w:val="0"/>
          <w:sz w:val="24"/>
          <w:szCs w:val="24"/>
        </w:rPr>
        <w:fldChar w:fldCharType="end"/>
      </w:r>
    </w:p>
    <w:p>
      <w:pPr>
        <w:pStyle w:val="18"/>
        <w:tabs>
          <w:tab w:val="right" w:leader="dot" w:pos="8302"/>
        </w:tabs>
        <w:spacing w:line="360" w:lineRule="auto"/>
        <w:rPr>
          <w:rFonts w:ascii="宋体" w:hAnsi="宋体" w:cstheme="minorBidi"/>
          <w:i w:val="0"/>
          <w:iCs w:val="0"/>
          <w:kern w:val="2"/>
          <w:sz w:val="24"/>
          <w:szCs w:val="24"/>
        </w:rPr>
      </w:pPr>
      <w:r>
        <w:fldChar w:fldCharType="begin"/>
      </w:r>
      <w:r>
        <w:instrText xml:space="preserve"> HYPERLINK \l "_Toc35500810" </w:instrText>
      </w:r>
      <w:r>
        <w:fldChar w:fldCharType="separate"/>
      </w:r>
      <w:r>
        <w:rPr>
          <w:rStyle w:val="41"/>
          <w:rFonts w:ascii="宋体" w:hAnsi="宋体"/>
          <w:i w:val="0"/>
          <w:sz w:val="24"/>
          <w:szCs w:val="24"/>
        </w:rPr>
        <w:t>4.重要会计政策与会计估计变更情况。</w:t>
      </w:r>
      <w:r>
        <w:rPr>
          <w:rFonts w:ascii="宋体" w:hAnsi="宋体"/>
          <w:i w:val="0"/>
          <w:sz w:val="24"/>
          <w:szCs w:val="24"/>
        </w:rPr>
        <w:tab/>
      </w:r>
      <w:r>
        <w:rPr>
          <w:rFonts w:ascii="宋体" w:hAnsi="宋体"/>
          <w:i w:val="0"/>
          <w:sz w:val="24"/>
          <w:szCs w:val="24"/>
        </w:rPr>
        <w:fldChar w:fldCharType="begin"/>
      </w:r>
      <w:r>
        <w:rPr>
          <w:rFonts w:ascii="宋体" w:hAnsi="宋体"/>
          <w:i w:val="0"/>
          <w:sz w:val="24"/>
          <w:szCs w:val="24"/>
        </w:rPr>
        <w:instrText xml:space="preserve"> PAGEREF _Toc35500810 \h </w:instrText>
      </w:r>
      <w:r>
        <w:rPr>
          <w:rFonts w:ascii="宋体" w:hAnsi="宋体"/>
          <w:i w:val="0"/>
          <w:sz w:val="24"/>
          <w:szCs w:val="24"/>
        </w:rPr>
        <w:fldChar w:fldCharType="separate"/>
      </w:r>
      <w:r>
        <w:rPr>
          <w:rFonts w:ascii="宋体" w:hAnsi="宋体"/>
          <w:i w:val="0"/>
          <w:sz w:val="24"/>
          <w:szCs w:val="24"/>
        </w:rPr>
        <w:t>7</w:t>
      </w:r>
      <w:r>
        <w:rPr>
          <w:rFonts w:ascii="宋体" w:hAnsi="宋体"/>
          <w:i w:val="0"/>
          <w:sz w:val="24"/>
          <w:szCs w:val="24"/>
        </w:rPr>
        <w:fldChar w:fldCharType="end"/>
      </w:r>
      <w:r>
        <w:rPr>
          <w:rFonts w:ascii="宋体" w:hAnsi="宋体"/>
          <w:i w:val="0"/>
          <w:sz w:val="24"/>
          <w:szCs w:val="24"/>
        </w:rPr>
        <w:fldChar w:fldCharType="end"/>
      </w:r>
    </w:p>
    <w:p>
      <w:pPr>
        <w:pStyle w:val="18"/>
        <w:tabs>
          <w:tab w:val="right" w:leader="dot" w:pos="8302"/>
        </w:tabs>
        <w:spacing w:line="360" w:lineRule="auto"/>
        <w:rPr>
          <w:rFonts w:ascii="宋体" w:hAnsi="宋体" w:cstheme="minorBidi"/>
          <w:i w:val="0"/>
          <w:iCs w:val="0"/>
          <w:kern w:val="2"/>
          <w:sz w:val="24"/>
          <w:szCs w:val="24"/>
        </w:rPr>
      </w:pPr>
      <w:r>
        <w:fldChar w:fldCharType="begin"/>
      </w:r>
      <w:r>
        <w:instrText xml:space="preserve"> HYPERLINK \l "_Toc35500811" </w:instrText>
      </w:r>
      <w:r>
        <w:fldChar w:fldCharType="separate"/>
      </w:r>
      <w:r>
        <w:rPr>
          <w:rStyle w:val="41"/>
          <w:rFonts w:ascii="宋体" w:hAnsi="宋体"/>
          <w:i w:val="0"/>
          <w:sz w:val="24"/>
          <w:szCs w:val="24"/>
        </w:rPr>
        <w:t>5.会计报表重要项目的明细信息及说明</w:t>
      </w:r>
      <w:r>
        <w:rPr>
          <w:rFonts w:ascii="宋体" w:hAnsi="宋体"/>
          <w:i w:val="0"/>
          <w:sz w:val="24"/>
          <w:szCs w:val="24"/>
        </w:rPr>
        <w:tab/>
      </w:r>
      <w:r>
        <w:rPr>
          <w:rFonts w:ascii="宋体" w:hAnsi="宋体"/>
          <w:i w:val="0"/>
          <w:sz w:val="24"/>
          <w:szCs w:val="24"/>
        </w:rPr>
        <w:fldChar w:fldCharType="begin"/>
      </w:r>
      <w:r>
        <w:rPr>
          <w:rFonts w:ascii="宋体" w:hAnsi="宋体"/>
          <w:i w:val="0"/>
          <w:sz w:val="24"/>
          <w:szCs w:val="24"/>
        </w:rPr>
        <w:instrText xml:space="preserve"> PAGEREF _Toc35500811 \h </w:instrText>
      </w:r>
      <w:r>
        <w:rPr>
          <w:rFonts w:ascii="宋体" w:hAnsi="宋体"/>
          <w:i w:val="0"/>
          <w:sz w:val="24"/>
          <w:szCs w:val="24"/>
        </w:rPr>
        <w:fldChar w:fldCharType="separate"/>
      </w:r>
      <w:r>
        <w:rPr>
          <w:rFonts w:ascii="宋体" w:hAnsi="宋体"/>
          <w:i w:val="0"/>
          <w:sz w:val="24"/>
          <w:szCs w:val="24"/>
        </w:rPr>
        <w:t>9</w:t>
      </w:r>
      <w:r>
        <w:rPr>
          <w:rFonts w:ascii="宋体" w:hAnsi="宋体"/>
          <w:i w:val="0"/>
          <w:sz w:val="24"/>
          <w:szCs w:val="24"/>
        </w:rPr>
        <w:fldChar w:fldCharType="end"/>
      </w:r>
      <w:r>
        <w:rPr>
          <w:rFonts w:ascii="宋体" w:hAnsi="宋体"/>
          <w:i w:val="0"/>
          <w:sz w:val="24"/>
          <w:szCs w:val="24"/>
        </w:rPr>
        <w:fldChar w:fldCharType="end"/>
      </w:r>
    </w:p>
    <w:p>
      <w:pPr>
        <w:pStyle w:val="18"/>
        <w:tabs>
          <w:tab w:val="right" w:leader="dot" w:pos="8302"/>
        </w:tabs>
        <w:spacing w:line="360" w:lineRule="auto"/>
        <w:rPr>
          <w:rFonts w:ascii="宋体" w:hAnsi="宋体" w:cstheme="minorBidi"/>
          <w:i w:val="0"/>
          <w:iCs w:val="0"/>
          <w:kern w:val="2"/>
          <w:sz w:val="24"/>
          <w:szCs w:val="24"/>
        </w:rPr>
      </w:pPr>
      <w:r>
        <w:fldChar w:fldCharType="begin"/>
      </w:r>
      <w:r>
        <w:instrText xml:space="preserve"> HYPERLINK \l "_Toc35500812" </w:instrText>
      </w:r>
      <w:r>
        <w:fldChar w:fldCharType="separate"/>
      </w:r>
      <w:r>
        <w:rPr>
          <w:rStyle w:val="41"/>
          <w:rFonts w:ascii="宋体" w:hAnsi="宋体"/>
          <w:i w:val="0"/>
          <w:sz w:val="24"/>
          <w:szCs w:val="24"/>
        </w:rPr>
        <w:t>6.需要说明的其他事项。</w:t>
      </w:r>
      <w:r>
        <w:rPr>
          <w:rFonts w:ascii="宋体" w:hAnsi="宋体"/>
          <w:i w:val="0"/>
          <w:sz w:val="24"/>
          <w:szCs w:val="24"/>
        </w:rPr>
        <w:tab/>
      </w:r>
      <w:r>
        <w:rPr>
          <w:rFonts w:ascii="宋体" w:hAnsi="宋体"/>
          <w:i w:val="0"/>
          <w:sz w:val="24"/>
          <w:szCs w:val="24"/>
        </w:rPr>
        <w:fldChar w:fldCharType="begin"/>
      </w:r>
      <w:r>
        <w:rPr>
          <w:rFonts w:ascii="宋体" w:hAnsi="宋体"/>
          <w:i w:val="0"/>
          <w:sz w:val="24"/>
          <w:szCs w:val="24"/>
        </w:rPr>
        <w:instrText xml:space="preserve"> PAGEREF _Toc35500812 \h </w:instrText>
      </w:r>
      <w:r>
        <w:rPr>
          <w:rFonts w:ascii="宋体" w:hAnsi="宋体"/>
          <w:i w:val="0"/>
          <w:sz w:val="24"/>
          <w:szCs w:val="24"/>
        </w:rPr>
        <w:fldChar w:fldCharType="separate"/>
      </w:r>
      <w:r>
        <w:rPr>
          <w:rFonts w:ascii="宋体" w:hAnsi="宋体"/>
          <w:i w:val="0"/>
          <w:sz w:val="24"/>
          <w:szCs w:val="24"/>
        </w:rPr>
        <w:t>17</w:t>
      </w:r>
      <w:r>
        <w:rPr>
          <w:rFonts w:ascii="宋体" w:hAnsi="宋体"/>
          <w:i w:val="0"/>
          <w:sz w:val="24"/>
          <w:szCs w:val="24"/>
        </w:rPr>
        <w:fldChar w:fldCharType="end"/>
      </w:r>
      <w:r>
        <w:rPr>
          <w:rFonts w:ascii="宋体" w:hAnsi="宋体"/>
          <w:i w:val="0"/>
          <w:sz w:val="24"/>
          <w:szCs w:val="24"/>
        </w:rPr>
        <w:fldChar w:fldCharType="end"/>
      </w:r>
    </w:p>
    <w:p>
      <w:pPr>
        <w:pStyle w:val="24"/>
        <w:tabs>
          <w:tab w:val="right" w:leader="dot" w:pos="8302"/>
        </w:tabs>
        <w:spacing w:before="0" w:after="0" w:line="360" w:lineRule="auto"/>
        <w:rPr>
          <w:rStyle w:val="41"/>
          <w:rFonts w:ascii="黑体" w:hAnsi="黑体" w:eastAsia="黑体"/>
          <w:sz w:val="24"/>
          <w:szCs w:val="24"/>
        </w:rPr>
      </w:pPr>
      <w:r>
        <w:fldChar w:fldCharType="begin"/>
      </w:r>
      <w:r>
        <w:instrText xml:space="preserve"> HYPERLINK \l "_Toc35500813" </w:instrText>
      </w:r>
      <w:r>
        <w:fldChar w:fldCharType="separate"/>
      </w:r>
      <w:r>
        <w:rPr>
          <w:rStyle w:val="41"/>
          <w:rFonts w:ascii="黑体" w:hAnsi="黑体" w:eastAsia="黑体"/>
          <w:sz w:val="24"/>
          <w:szCs w:val="24"/>
        </w:rPr>
        <w:t>二、政府部门财务分析</w:t>
      </w:r>
      <w:r>
        <w:rPr>
          <w:rStyle w:val="41"/>
          <w:rFonts w:ascii="黑体" w:hAnsi="黑体" w:eastAsia="黑体"/>
          <w:sz w:val="24"/>
          <w:szCs w:val="24"/>
        </w:rPr>
        <w:tab/>
      </w:r>
      <w:r>
        <w:rPr>
          <w:rStyle w:val="41"/>
          <w:rFonts w:ascii="黑体" w:hAnsi="黑体" w:eastAsia="黑体"/>
          <w:sz w:val="24"/>
          <w:szCs w:val="24"/>
        </w:rPr>
        <w:fldChar w:fldCharType="begin"/>
      </w:r>
      <w:r>
        <w:rPr>
          <w:rStyle w:val="41"/>
          <w:rFonts w:ascii="黑体" w:hAnsi="黑体" w:eastAsia="黑体"/>
          <w:sz w:val="24"/>
          <w:szCs w:val="24"/>
        </w:rPr>
        <w:instrText xml:space="preserve"> PAGEREF _Toc35500813 \h </w:instrText>
      </w:r>
      <w:r>
        <w:rPr>
          <w:rStyle w:val="41"/>
          <w:rFonts w:ascii="黑体" w:hAnsi="黑体" w:eastAsia="黑体"/>
          <w:sz w:val="24"/>
          <w:szCs w:val="24"/>
        </w:rPr>
        <w:fldChar w:fldCharType="separate"/>
      </w:r>
      <w:r>
        <w:rPr>
          <w:rStyle w:val="41"/>
          <w:rFonts w:ascii="黑体" w:hAnsi="黑体" w:eastAsia="黑体"/>
          <w:sz w:val="24"/>
          <w:szCs w:val="24"/>
        </w:rPr>
        <w:t>17</w:t>
      </w:r>
      <w:r>
        <w:rPr>
          <w:rStyle w:val="41"/>
          <w:rFonts w:ascii="黑体" w:hAnsi="黑体" w:eastAsia="黑体"/>
          <w:sz w:val="24"/>
          <w:szCs w:val="24"/>
        </w:rPr>
        <w:fldChar w:fldCharType="end"/>
      </w:r>
      <w:r>
        <w:rPr>
          <w:rStyle w:val="41"/>
          <w:rFonts w:ascii="黑体" w:hAnsi="黑体" w:eastAsia="黑体"/>
          <w:sz w:val="24"/>
          <w:szCs w:val="24"/>
        </w:rPr>
        <w:fldChar w:fldCharType="end"/>
      </w:r>
    </w:p>
    <w:p>
      <w:pPr>
        <w:pStyle w:val="18"/>
        <w:tabs>
          <w:tab w:val="right" w:leader="dot" w:pos="8302"/>
        </w:tabs>
        <w:spacing w:line="360" w:lineRule="auto"/>
        <w:rPr>
          <w:rFonts w:ascii="宋体" w:hAnsi="宋体" w:cstheme="minorBidi"/>
          <w:i w:val="0"/>
          <w:iCs w:val="0"/>
          <w:kern w:val="2"/>
          <w:sz w:val="24"/>
          <w:szCs w:val="24"/>
        </w:rPr>
      </w:pPr>
      <w:r>
        <w:fldChar w:fldCharType="begin"/>
      </w:r>
      <w:r>
        <w:instrText xml:space="preserve"> HYPERLINK \l "_Toc35500814" </w:instrText>
      </w:r>
      <w:r>
        <w:fldChar w:fldCharType="separate"/>
      </w:r>
      <w:r>
        <w:rPr>
          <w:rStyle w:val="41"/>
          <w:rFonts w:ascii="宋体" w:hAnsi="宋体"/>
          <w:i w:val="0"/>
          <w:sz w:val="24"/>
          <w:szCs w:val="24"/>
        </w:rPr>
        <w:t>（一）</w:t>
      </w:r>
      <w:r>
        <w:rPr>
          <w:rStyle w:val="41"/>
          <w:rFonts w:ascii="宋体" w:hAnsi="宋体" w:cs="黑体"/>
          <w:i w:val="0"/>
          <w:spacing w:val="-8"/>
          <w:sz w:val="24"/>
          <w:szCs w:val="24"/>
        </w:rPr>
        <w:t>政府部门工作目标完成情况。</w:t>
      </w:r>
      <w:r>
        <w:rPr>
          <w:rFonts w:ascii="宋体" w:hAnsi="宋体"/>
          <w:i w:val="0"/>
          <w:sz w:val="24"/>
          <w:szCs w:val="24"/>
        </w:rPr>
        <w:tab/>
      </w:r>
      <w:r>
        <w:rPr>
          <w:rFonts w:ascii="宋体" w:hAnsi="宋体"/>
          <w:i w:val="0"/>
          <w:sz w:val="24"/>
          <w:szCs w:val="24"/>
        </w:rPr>
        <w:fldChar w:fldCharType="begin"/>
      </w:r>
      <w:r>
        <w:rPr>
          <w:rFonts w:ascii="宋体" w:hAnsi="宋体"/>
          <w:i w:val="0"/>
          <w:sz w:val="24"/>
          <w:szCs w:val="24"/>
        </w:rPr>
        <w:instrText xml:space="preserve"> PAGEREF _Toc35500814 \h </w:instrText>
      </w:r>
      <w:r>
        <w:rPr>
          <w:rFonts w:ascii="宋体" w:hAnsi="宋体"/>
          <w:i w:val="0"/>
          <w:sz w:val="24"/>
          <w:szCs w:val="24"/>
        </w:rPr>
        <w:fldChar w:fldCharType="separate"/>
      </w:r>
      <w:r>
        <w:rPr>
          <w:rFonts w:ascii="宋体" w:hAnsi="宋体"/>
          <w:i w:val="0"/>
          <w:sz w:val="24"/>
          <w:szCs w:val="24"/>
        </w:rPr>
        <w:t>17</w:t>
      </w:r>
      <w:r>
        <w:rPr>
          <w:rFonts w:ascii="宋体" w:hAnsi="宋体"/>
          <w:i w:val="0"/>
          <w:sz w:val="24"/>
          <w:szCs w:val="24"/>
        </w:rPr>
        <w:fldChar w:fldCharType="end"/>
      </w:r>
      <w:r>
        <w:rPr>
          <w:rFonts w:ascii="宋体" w:hAnsi="宋体"/>
          <w:i w:val="0"/>
          <w:sz w:val="24"/>
          <w:szCs w:val="24"/>
        </w:rPr>
        <w:fldChar w:fldCharType="end"/>
      </w:r>
    </w:p>
    <w:p>
      <w:pPr>
        <w:pStyle w:val="18"/>
        <w:tabs>
          <w:tab w:val="right" w:leader="dot" w:pos="8302"/>
        </w:tabs>
        <w:spacing w:line="360" w:lineRule="auto"/>
        <w:rPr>
          <w:rFonts w:ascii="宋体" w:hAnsi="宋体" w:cstheme="minorBidi"/>
          <w:i w:val="0"/>
          <w:iCs w:val="0"/>
          <w:kern w:val="2"/>
          <w:sz w:val="24"/>
          <w:szCs w:val="24"/>
        </w:rPr>
      </w:pPr>
      <w:r>
        <w:fldChar w:fldCharType="begin"/>
      </w:r>
      <w:r>
        <w:instrText xml:space="preserve"> HYPERLINK \l "_Toc35500815" </w:instrText>
      </w:r>
      <w:r>
        <w:fldChar w:fldCharType="separate"/>
      </w:r>
      <w:r>
        <w:rPr>
          <w:rStyle w:val="41"/>
          <w:rFonts w:ascii="宋体" w:hAnsi="宋体"/>
          <w:i w:val="0"/>
          <w:sz w:val="24"/>
          <w:szCs w:val="24"/>
        </w:rPr>
        <w:t>（二）政府部门财务状况分析。</w:t>
      </w:r>
      <w:r>
        <w:rPr>
          <w:rFonts w:ascii="宋体" w:hAnsi="宋体"/>
          <w:i w:val="0"/>
          <w:sz w:val="24"/>
          <w:szCs w:val="24"/>
        </w:rPr>
        <w:tab/>
      </w:r>
      <w:r>
        <w:rPr>
          <w:rFonts w:ascii="宋体" w:hAnsi="宋体"/>
          <w:i w:val="0"/>
          <w:sz w:val="24"/>
          <w:szCs w:val="24"/>
        </w:rPr>
        <w:fldChar w:fldCharType="begin"/>
      </w:r>
      <w:r>
        <w:rPr>
          <w:rFonts w:ascii="宋体" w:hAnsi="宋体"/>
          <w:i w:val="0"/>
          <w:sz w:val="24"/>
          <w:szCs w:val="24"/>
        </w:rPr>
        <w:instrText xml:space="preserve"> PAGEREF _Toc35500815 \h </w:instrText>
      </w:r>
      <w:r>
        <w:rPr>
          <w:rFonts w:ascii="宋体" w:hAnsi="宋体"/>
          <w:i w:val="0"/>
          <w:sz w:val="24"/>
          <w:szCs w:val="24"/>
        </w:rPr>
        <w:fldChar w:fldCharType="separate"/>
      </w:r>
      <w:r>
        <w:rPr>
          <w:rFonts w:ascii="宋体" w:hAnsi="宋体"/>
          <w:i w:val="0"/>
          <w:sz w:val="24"/>
          <w:szCs w:val="24"/>
        </w:rPr>
        <w:t>17</w:t>
      </w:r>
      <w:r>
        <w:rPr>
          <w:rFonts w:ascii="宋体" w:hAnsi="宋体"/>
          <w:i w:val="0"/>
          <w:sz w:val="24"/>
          <w:szCs w:val="24"/>
        </w:rPr>
        <w:fldChar w:fldCharType="end"/>
      </w:r>
      <w:r>
        <w:rPr>
          <w:rFonts w:ascii="宋体" w:hAnsi="宋体"/>
          <w:i w:val="0"/>
          <w:sz w:val="24"/>
          <w:szCs w:val="24"/>
        </w:rPr>
        <w:fldChar w:fldCharType="end"/>
      </w:r>
    </w:p>
    <w:p>
      <w:pPr>
        <w:pStyle w:val="18"/>
        <w:tabs>
          <w:tab w:val="right" w:leader="dot" w:pos="8302"/>
        </w:tabs>
        <w:spacing w:line="360" w:lineRule="auto"/>
        <w:rPr>
          <w:rFonts w:ascii="宋体" w:hAnsi="宋体" w:cstheme="minorBidi"/>
          <w:i w:val="0"/>
          <w:iCs w:val="0"/>
          <w:kern w:val="2"/>
          <w:sz w:val="24"/>
          <w:szCs w:val="24"/>
        </w:rPr>
      </w:pPr>
      <w:r>
        <w:fldChar w:fldCharType="begin"/>
      </w:r>
      <w:r>
        <w:instrText xml:space="preserve"> HYPERLINK \l "_Toc35500816" </w:instrText>
      </w:r>
      <w:r>
        <w:fldChar w:fldCharType="separate"/>
      </w:r>
      <w:r>
        <w:rPr>
          <w:rStyle w:val="41"/>
          <w:rFonts w:ascii="宋体" w:hAnsi="宋体"/>
          <w:i w:val="0"/>
          <w:sz w:val="24"/>
          <w:szCs w:val="24"/>
        </w:rPr>
        <w:t>（三）政府部门运行情况分析。</w:t>
      </w:r>
      <w:r>
        <w:rPr>
          <w:rFonts w:ascii="宋体" w:hAnsi="宋体"/>
          <w:i w:val="0"/>
          <w:sz w:val="24"/>
          <w:szCs w:val="24"/>
        </w:rPr>
        <w:tab/>
      </w:r>
      <w:r>
        <w:rPr>
          <w:rFonts w:ascii="宋体" w:hAnsi="宋体"/>
          <w:i w:val="0"/>
          <w:sz w:val="24"/>
          <w:szCs w:val="24"/>
        </w:rPr>
        <w:fldChar w:fldCharType="begin"/>
      </w:r>
      <w:r>
        <w:rPr>
          <w:rFonts w:ascii="宋体" w:hAnsi="宋体"/>
          <w:i w:val="0"/>
          <w:sz w:val="24"/>
          <w:szCs w:val="24"/>
        </w:rPr>
        <w:instrText xml:space="preserve"> PAGEREF _Toc35500816 \h </w:instrText>
      </w:r>
      <w:r>
        <w:rPr>
          <w:rFonts w:ascii="宋体" w:hAnsi="宋体"/>
          <w:i w:val="0"/>
          <w:sz w:val="24"/>
          <w:szCs w:val="24"/>
        </w:rPr>
        <w:fldChar w:fldCharType="separate"/>
      </w:r>
      <w:r>
        <w:rPr>
          <w:rFonts w:ascii="宋体" w:hAnsi="宋体"/>
          <w:i w:val="0"/>
          <w:sz w:val="24"/>
          <w:szCs w:val="24"/>
        </w:rPr>
        <w:t>24</w:t>
      </w:r>
      <w:r>
        <w:rPr>
          <w:rFonts w:ascii="宋体" w:hAnsi="宋体"/>
          <w:i w:val="0"/>
          <w:sz w:val="24"/>
          <w:szCs w:val="24"/>
        </w:rPr>
        <w:fldChar w:fldCharType="end"/>
      </w:r>
      <w:r>
        <w:rPr>
          <w:rFonts w:ascii="宋体" w:hAnsi="宋体"/>
          <w:i w:val="0"/>
          <w:sz w:val="24"/>
          <w:szCs w:val="24"/>
        </w:rPr>
        <w:fldChar w:fldCharType="end"/>
      </w:r>
    </w:p>
    <w:p>
      <w:pPr>
        <w:pStyle w:val="18"/>
        <w:tabs>
          <w:tab w:val="right" w:leader="dot" w:pos="8302"/>
        </w:tabs>
        <w:spacing w:line="360" w:lineRule="auto"/>
        <w:rPr>
          <w:rFonts w:ascii="宋体" w:hAnsi="宋体" w:cstheme="minorBidi"/>
          <w:i w:val="0"/>
          <w:iCs w:val="0"/>
          <w:kern w:val="2"/>
          <w:sz w:val="24"/>
          <w:szCs w:val="24"/>
        </w:rPr>
      </w:pPr>
      <w:r>
        <w:fldChar w:fldCharType="begin"/>
      </w:r>
      <w:r>
        <w:instrText xml:space="preserve"> HYPERLINK \l "_Toc35500817" </w:instrText>
      </w:r>
      <w:r>
        <w:fldChar w:fldCharType="separate"/>
      </w:r>
      <w:r>
        <w:rPr>
          <w:rStyle w:val="41"/>
          <w:rFonts w:ascii="宋体" w:hAnsi="宋体"/>
          <w:i w:val="0"/>
          <w:sz w:val="24"/>
          <w:szCs w:val="24"/>
        </w:rPr>
        <w:t>（四）政府部门财务管理情况。</w:t>
      </w:r>
      <w:r>
        <w:rPr>
          <w:rFonts w:ascii="宋体" w:hAnsi="宋体"/>
          <w:i w:val="0"/>
          <w:sz w:val="24"/>
          <w:szCs w:val="24"/>
        </w:rPr>
        <w:tab/>
      </w:r>
      <w:r>
        <w:rPr>
          <w:rFonts w:ascii="宋体" w:hAnsi="宋体"/>
          <w:i w:val="0"/>
          <w:sz w:val="24"/>
          <w:szCs w:val="24"/>
        </w:rPr>
        <w:fldChar w:fldCharType="begin"/>
      </w:r>
      <w:r>
        <w:rPr>
          <w:rFonts w:ascii="宋体" w:hAnsi="宋体"/>
          <w:i w:val="0"/>
          <w:sz w:val="24"/>
          <w:szCs w:val="24"/>
        </w:rPr>
        <w:instrText xml:space="preserve"> PAGEREF _Toc35500817 \h </w:instrText>
      </w:r>
      <w:r>
        <w:rPr>
          <w:rFonts w:ascii="宋体" w:hAnsi="宋体"/>
          <w:i w:val="0"/>
          <w:sz w:val="24"/>
          <w:szCs w:val="24"/>
        </w:rPr>
        <w:fldChar w:fldCharType="separate"/>
      </w:r>
      <w:r>
        <w:rPr>
          <w:rFonts w:ascii="宋体" w:hAnsi="宋体"/>
          <w:i w:val="0"/>
          <w:sz w:val="24"/>
          <w:szCs w:val="24"/>
        </w:rPr>
        <w:t>27</w:t>
      </w:r>
      <w:r>
        <w:rPr>
          <w:rFonts w:ascii="宋体" w:hAnsi="宋体"/>
          <w:i w:val="0"/>
          <w:sz w:val="24"/>
          <w:szCs w:val="24"/>
        </w:rPr>
        <w:fldChar w:fldCharType="end"/>
      </w:r>
      <w:r>
        <w:rPr>
          <w:rFonts w:ascii="宋体" w:hAnsi="宋体"/>
          <w:i w:val="0"/>
          <w:sz w:val="24"/>
          <w:szCs w:val="24"/>
        </w:rPr>
        <w:fldChar w:fldCharType="end"/>
      </w:r>
    </w:p>
    <w:p>
      <w:pPr>
        <w:spacing w:line="360" w:lineRule="auto"/>
        <w:jc w:val="both"/>
        <w:rPr>
          <w:rFonts w:eastAsia="仿宋_GB2312"/>
          <w:smallCaps/>
        </w:rPr>
      </w:pPr>
      <w:r>
        <w:rPr>
          <w:rFonts w:asciiTheme="minorEastAsia" w:hAnsiTheme="minorEastAsia" w:eastAsiaTheme="minorEastAsia"/>
          <w:smallCaps/>
          <w:sz w:val="28"/>
          <w:szCs w:val="28"/>
        </w:rPr>
        <w:fldChar w:fldCharType="end"/>
      </w:r>
    </w:p>
    <w:p>
      <w:pPr>
        <w:spacing w:line="360" w:lineRule="auto"/>
        <w:jc w:val="both"/>
        <w:rPr>
          <w:rFonts w:eastAsia="仿宋_GB2312"/>
          <w:smallCaps/>
        </w:rPr>
      </w:pPr>
    </w:p>
    <w:p>
      <w:pPr>
        <w:spacing w:line="360" w:lineRule="auto"/>
        <w:jc w:val="both"/>
        <w:rPr>
          <w:rFonts w:eastAsia="仿宋_GB2312"/>
          <w:smallCaps/>
        </w:rPr>
        <w:sectPr>
          <w:footerReference r:id="rId12" w:type="first"/>
          <w:headerReference r:id="rId10" w:type="default"/>
          <w:footerReference r:id="rId11" w:type="default"/>
          <w:footnotePr>
            <w:numFmt w:val="decimalEnclosedCircleChinese"/>
          </w:footnotePr>
          <w:pgSz w:w="11906" w:h="16838"/>
          <w:pgMar w:top="1440" w:right="1797" w:bottom="1440" w:left="1797" w:header="851" w:footer="992" w:gutter="0"/>
          <w:cols w:space="425" w:num="1"/>
          <w:docGrid w:type="lines" w:linePitch="326" w:charSpace="0"/>
        </w:sectPr>
      </w:pPr>
    </w:p>
    <w:p>
      <w:pPr>
        <w:pStyle w:val="3"/>
        <w:spacing w:before="0" w:after="0" w:line="360" w:lineRule="auto"/>
        <w:rPr>
          <w:rStyle w:val="44"/>
          <w:rFonts w:ascii="宋体" w:eastAsia="宋体"/>
          <w:b w:val="0"/>
          <w:sz w:val="32"/>
          <w:szCs w:val="32"/>
        </w:rPr>
      </w:pPr>
      <w:bookmarkStart w:id="12" w:name="_Toc435361944"/>
      <w:bookmarkStart w:id="13" w:name="_Toc435362487"/>
      <w:bookmarkStart w:id="14" w:name="_Toc435362062"/>
      <w:bookmarkStart w:id="15" w:name="_Toc35452575"/>
      <w:bookmarkStart w:id="16" w:name="_Toc35500801"/>
      <w:bookmarkStart w:id="17" w:name="_Toc435363360"/>
      <w:bookmarkStart w:id="18" w:name="_Toc435360895"/>
      <w:bookmarkStart w:id="19" w:name="_Toc503548884"/>
      <w:bookmarkStart w:id="20" w:name="_Toc436083527"/>
      <w:bookmarkStart w:id="21" w:name="_Toc435362289"/>
      <w:r>
        <w:rPr>
          <w:rFonts w:hint="eastAsia" w:ascii="宋体" w:eastAsia="宋体"/>
          <w:sz w:val="32"/>
          <w:szCs w:val="32"/>
        </w:rPr>
        <w:t>一、政府部门财务报表</w:t>
      </w:r>
      <w:bookmarkEnd w:id="12"/>
      <w:bookmarkEnd w:id="13"/>
      <w:bookmarkEnd w:id="14"/>
      <w:bookmarkEnd w:id="15"/>
      <w:bookmarkEnd w:id="16"/>
      <w:bookmarkEnd w:id="17"/>
      <w:bookmarkEnd w:id="18"/>
      <w:bookmarkEnd w:id="19"/>
      <w:bookmarkEnd w:id="20"/>
      <w:bookmarkEnd w:id="21"/>
    </w:p>
    <w:p>
      <w:pPr>
        <w:pStyle w:val="4"/>
        <w:spacing w:before="0" w:after="0" w:line="360" w:lineRule="auto"/>
        <w:ind w:firstLine="602" w:firstLineChars="200"/>
        <w:jc w:val="left"/>
        <w:rPr>
          <w:rFonts w:asciiTheme="minorEastAsia" w:hAnsiTheme="minorEastAsia" w:eastAsiaTheme="minorEastAsia"/>
        </w:rPr>
      </w:pPr>
      <w:bookmarkStart w:id="22" w:name="_Toc435362063"/>
      <w:bookmarkStart w:id="23" w:name="_Toc435362488"/>
      <w:bookmarkStart w:id="24" w:name="_Toc35452576"/>
      <w:bookmarkStart w:id="25" w:name="_Toc435362290"/>
      <w:bookmarkStart w:id="26" w:name="_Toc503548885"/>
      <w:bookmarkStart w:id="27" w:name="_Toc436083528"/>
      <w:bookmarkStart w:id="28" w:name="_Toc435361945"/>
      <w:bookmarkStart w:id="29" w:name="_Toc35500802"/>
      <w:r>
        <w:rPr>
          <w:rFonts w:hint="eastAsia" w:asciiTheme="minorEastAsia" w:hAnsiTheme="minorEastAsia" w:eastAsiaTheme="minorEastAsia"/>
        </w:rPr>
        <w:t>（一）政府部门会计报表</w:t>
      </w:r>
      <w:bookmarkEnd w:id="22"/>
      <w:bookmarkEnd w:id="23"/>
      <w:bookmarkEnd w:id="24"/>
      <w:bookmarkEnd w:id="25"/>
      <w:bookmarkEnd w:id="26"/>
      <w:bookmarkEnd w:id="27"/>
      <w:bookmarkEnd w:id="28"/>
      <w:bookmarkEnd w:id="29"/>
    </w:p>
    <w:p/>
    <w:p>
      <w:bookmarkStart w:id="30" w:name="_Toc435361946"/>
      <w:bookmarkStart w:id="31" w:name="_Toc435362489"/>
      <w:bookmarkStart w:id="32" w:name="_Toc435362291"/>
      <w:bookmarkStart w:id="33" w:name="_Toc435362064"/>
      <w:r>
        <w:rPr>
          <w:rFonts w:hint="eastAsia"/>
        </w:rPr>
        <w:t>表</w:t>
      </w:r>
      <w:r>
        <w:t>1</w:t>
      </w:r>
    </w:p>
    <w:p>
      <w:pPr>
        <w:spacing w:before="2" w:line="360" w:lineRule="auto"/>
        <w:ind w:firstLine="562" w:firstLineChars="200"/>
        <w:jc w:val="center"/>
        <w:outlineLvl w:val="2"/>
        <w:rPr>
          <w:rFonts w:cs="Times New Roman" w:asciiTheme="majorEastAsia" w:hAnsiTheme="majorEastAsia" w:eastAsiaTheme="majorEastAsia"/>
          <w:b/>
          <w:bCs/>
          <w:kern w:val="2"/>
          <w:sz w:val="28"/>
          <w:szCs w:val="28"/>
        </w:rPr>
      </w:pPr>
      <w:bookmarkStart w:id="34" w:name="_Toc35500803"/>
      <w:bookmarkStart w:id="35" w:name="_Toc35452577"/>
      <w:r>
        <w:rPr>
          <w:rFonts w:hint="eastAsia" w:cs="Times New Roman" w:asciiTheme="majorEastAsia" w:hAnsiTheme="majorEastAsia" w:eastAsiaTheme="majorEastAsia"/>
          <w:b/>
          <w:bCs/>
          <w:kern w:val="2"/>
          <w:sz w:val="28"/>
          <w:szCs w:val="28"/>
        </w:rPr>
        <w:t>资产负债表</w:t>
      </w:r>
      <w:bookmarkEnd w:id="30"/>
      <w:bookmarkEnd w:id="31"/>
      <w:bookmarkEnd w:id="32"/>
      <w:bookmarkEnd w:id="33"/>
      <w:bookmarkEnd w:id="34"/>
      <w:bookmarkEnd w:id="35"/>
    </w:p>
    <w:p>
      <w:pPr>
        <w:tabs>
          <w:tab w:val="left" w:pos="4160"/>
          <w:tab w:val="left" w:pos="7170"/>
        </w:tabs>
        <w:adjustRightInd w:val="0"/>
        <w:snapToGrid w:val="0"/>
        <w:spacing w:line="320" w:lineRule="exact"/>
        <w:ind w:left="-425" w:leftChars="-177"/>
        <w:rPr>
          <w:b/>
          <w:bCs/>
          <w:sz w:val="20"/>
          <w:szCs w:val="20"/>
        </w:rPr>
      </w:pPr>
      <w:r>
        <w:rPr>
          <w:rFonts w:hint="eastAsia"/>
          <w:sz w:val="20"/>
          <w:szCs w:val="20"/>
        </w:rPr>
        <w:t>编制单位：内蒙古自治区巴彦淖尔市临河区司法局</w:t>
      </w:r>
      <w:r>
        <w:rPr>
          <w:b/>
          <w:bCs/>
          <w:sz w:val="20"/>
          <w:szCs w:val="20"/>
        </w:rPr>
        <w:tab/>
      </w:r>
      <w:r>
        <w:rPr>
          <w:sz w:val="20"/>
          <w:szCs w:val="20"/>
        </w:rPr>
        <w:t>2020</w:t>
      </w:r>
      <w:r>
        <w:rPr>
          <w:rFonts w:hint="eastAsia"/>
          <w:sz w:val="20"/>
          <w:szCs w:val="20"/>
        </w:rPr>
        <w:t>年12月31日</w:t>
      </w:r>
      <w:r>
        <w:rPr>
          <w:b/>
          <w:bCs/>
          <w:sz w:val="20"/>
          <w:szCs w:val="20"/>
        </w:rPr>
        <w:tab/>
      </w:r>
      <w:r>
        <w:rPr>
          <w:rFonts w:hint="eastAsia"/>
          <w:sz w:val="20"/>
          <w:szCs w:val="20"/>
        </w:rPr>
        <w:t>单位：万元</w:t>
      </w:r>
    </w:p>
    <w:tbl>
      <w:tblPr>
        <w:tblStyle w:val="35"/>
        <w:tblW w:w="8958" w:type="dxa"/>
        <w:jc w:val="center"/>
        <w:tblLayout w:type="fixed"/>
        <w:tblCellMar>
          <w:top w:w="0" w:type="dxa"/>
          <w:left w:w="108" w:type="dxa"/>
          <w:bottom w:w="0" w:type="dxa"/>
          <w:right w:w="108" w:type="dxa"/>
        </w:tblCellMar>
      </w:tblPr>
      <w:tblGrid>
        <w:gridCol w:w="3890"/>
        <w:gridCol w:w="1276"/>
        <w:gridCol w:w="1733"/>
        <w:gridCol w:w="2059"/>
      </w:tblGrid>
      <w:tr>
        <w:tblPrEx>
          <w:tblCellMar>
            <w:top w:w="0" w:type="dxa"/>
            <w:left w:w="108" w:type="dxa"/>
            <w:bottom w:w="0" w:type="dxa"/>
            <w:right w:w="108" w:type="dxa"/>
          </w:tblCellMar>
        </w:tblPrEx>
        <w:trPr>
          <w:trHeight w:val="340" w:hRule="exact"/>
          <w:tblHeader/>
          <w:jc w:val="center"/>
        </w:trPr>
        <w:tc>
          <w:tcPr>
            <w:tcW w:w="3890" w:type="dxa"/>
            <w:tcBorders>
              <w:top w:val="single" w:color="auto" w:sz="4" w:space="0"/>
              <w:bottom w:val="single" w:color="auto" w:sz="4" w:space="0"/>
            </w:tcBorders>
            <w:shd w:val="clear" w:color="FFFFFF" w:fill="FFFFFF"/>
            <w:vAlign w:val="center"/>
          </w:tcPr>
          <w:p>
            <w:pPr>
              <w:adjustRightInd w:val="0"/>
              <w:snapToGrid w:val="0"/>
              <w:spacing w:line="320" w:lineRule="exact"/>
              <w:jc w:val="center"/>
              <w:rPr>
                <w:b/>
                <w:bCs/>
                <w:sz w:val="20"/>
                <w:szCs w:val="20"/>
              </w:rPr>
            </w:pPr>
            <w:r>
              <w:rPr>
                <w:rFonts w:hint="eastAsia"/>
                <w:b/>
                <w:bCs/>
                <w:sz w:val="20"/>
                <w:szCs w:val="20"/>
              </w:rPr>
              <w:t>项目</w:t>
            </w:r>
          </w:p>
        </w:tc>
        <w:tc>
          <w:tcPr>
            <w:tcW w:w="1276" w:type="dxa"/>
            <w:tcBorders>
              <w:top w:val="single" w:color="auto" w:sz="4" w:space="0"/>
              <w:bottom w:val="single" w:color="auto" w:sz="4" w:space="0"/>
            </w:tcBorders>
            <w:shd w:val="clear" w:color="FFFFFF" w:fill="FFFFFF"/>
            <w:vAlign w:val="center"/>
          </w:tcPr>
          <w:p>
            <w:pPr>
              <w:adjustRightInd w:val="0"/>
              <w:snapToGrid w:val="0"/>
              <w:spacing w:line="320" w:lineRule="exact"/>
              <w:jc w:val="center"/>
              <w:rPr>
                <w:b/>
                <w:bCs/>
                <w:sz w:val="20"/>
                <w:szCs w:val="20"/>
              </w:rPr>
            </w:pPr>
            <w:r>
              <w:rPr>
                <w:rFonts w:hint="eastAsia"/>
                <w:b/>
                <w:bCs/>
                <w:sz w:val="20"/>
                <w:szCs w:val="20"/>
              </w:rPr>
              <w:t>附注</w:t>
            </w:r>
          </w:p>
        </w:tc>
        <w:tc>
          <w:tcPr>
            <w:tcW w:w="1733" w:type="dxa"/>
            <w:tcBorders>
              <w:top w:val="single" w:color="auto" w:sz="4" w:space="0"/>
              <w:bottom w:val="single" w:color="auto" w:sz="4" w:space="0"/>
            </w:tcBorders>
            <w:shd w:val="clear" w:color="FFFFFF" w:fill="FFFFFF"/>
            <w:vAlign w:val="center"/>
          </w:tcPr>
          <w:p>
            <w:pPr>
              <w:adjustRightInd w:val="0"/>
              <w:snapToGrid w:val="0"/>
              <w:spacing w:line="320" w:lineRule="exact"/>
              <w:jc w:val="center"/>
              <w:rPr>
                <w:b/>
                <w:bCs/>
                <w:sz w:val="20"/>
                <w:szCs w:val="20"/>
              </w:rPr>
            </w:pPr>
            <w:r>
              <w:rPr>
                <w:rFonts w:hint="eastAsia"/>
                <w:b/>
                <w:bCs/>
                <w:sz w:val="20"/>
                <w:szCs w:val="20"/>
              </w:rPr>
              <w:t>年末数</w:t>
            </w:r>
          </w:p>
        </w:tc>
        <w:tc>
          <w:tcPr>
            <w:tcW w:w="2059" w:type="dxa"/>
            <w:tcBorders>
              <w:top w:val="single" w:color="auto" w:sz="4" w:space="0"/>
              <w:bottom w:val="single" w:color="auto" w:sz="4" w:space="0"/>
            </w:tcBorders>
            <w:shd w:val="clear" w:color="FFFFFF" w:fill="FFFFFF"/>
            <w:vAlign w:val="center"/>
          </w:tcPr>
          <w:p>
            <w:pPr>
              <w:adjustRightInd w:val="0"/>
              <w:snapToGrid w:val="0"/>
              <w:spacing w:line="320" w:lineRule="exact"/>
              <w:jc w:val="center"/>
              <w:rPr>
                <w:b/>
                <w:bCs/>
                <w:sz w:val="20"/>
                <w:szCs w:val="20"/>
              </w:rPr>
            </w:pPr>
            <w:r>
              <w:rPr>
                <w:rFonts w:hint="eastAsia"/>
                <w:b/>
                <w:bCs/>
                <w:sz w:val="20"/>
                <w:szCs w:val="20"/>
              </w:rPr>
              <w:t>年初数</w:t>
            </w:r>
          </w:p>
        </w:tc>
      </w:tr>
      <w:tr>
        <w:tblPrEx>
          <w:tblCellMar>
            <w:top w:w="0" w:type="dxa"/>
            <w:left w:w="108" w:type="dxa"/>
            <w:bottom w:w="0" w:type="dxa"/>
            <w:right w:w="108" w:type="dxa"/>
          </w:tblCellMar>
        </w:tblPrEx>
        <w:trPr>
          <w:trHeight w:val="20" w:hRule="exact"/>
          <w:tblHeader/>
          <w:jc w:val="center"/>
        </w:trPr>
        <w:tc>
          <w:tcPr>
            <w:tcW w:w="3890" w:type="dxa"/>
            <w:tcBorders>
              <w:top w:val="single" w:color="auto" w:sz="4" w:space="0"/>
            </w:tcBorders>
            <w:shd w:val="clear" w:color="FFFFFF" w:fill="FFFFFF"/>
            <w:vAlign w:val="center"/>
          </w:tcPr>
          <w:p>
            <w:pPr>
              <w:adjustRightInd w:val="0"/>
              <w:snapToGrid w:val="0"/>
              <w:spacing w:line="320" w:lineRule="exact"/>
              <w:jc w:val="center"/>
              <w:rPr>
                <w:b/>
                <w:bCs/>
                <w:sz w:val="20"/>
                <w:szCs w:val="20"/>
              </w:rPr>
            </w:pPr>
          </w:p>
        </w:tc>
        <w:tc>
          <w:tcPr>
            <w:tcW w:w="1276" w:type="dxa"/>
            <w:tcBorders>
              <w:top w:val="single" w:color="auto" w:sz="4" w:space="0"/>
            </w:tcBorders>
            <w:shd w:val="clear" w:color="FFFFFF" w:fill="FFFFFF"/>
            <w:vAlign w:val="center"/>
          </w:tcPr>
          <w:p>
            <w:pPr>
              <w:adjustRightInd w:val="0"/>
              <w:snapToGrid w:val="0"/>
              <w:spacing w:line="320" w:lineRule="exact"/>
              <w:jc w:val="center"/>
              <w:rPr>
                <w:b/>
                <w:bCs/>
                <w:sz w:val="20"/>
                <w:szCs w:val="20"/>
              </w:rPr>
            </w:pPr>
          </w:p>
        </w:tc>
        <w:tc>
          <w:tcPr>
            <w:tcW w:w="1733" w:type="dxa"/>
            <w:tcBorders>
              <w:top w:val="single" w:color="auto" w:sz="4" w:space="0"/>
            </w:tcBorders>
            <w:shd w:val="clear" w:color="FFFFFF" w:fill="FFFFFF"/>
            <w:vAlign w:val="center"/>
          </w:tcPr>
          <w:p>
            <w:pPr>
              <w:adjustRightInd w:val="0"/>
              <w:snapToGrid w:val="0"/>
              <w:spacing w:line="320" w:lineRule="exact"/>
              <w:jc w:val="center"/>
              <w:rPr>
                <w:b/>
                <w:bCs/>
                <w:sz w:val="20"/>
                <w:szCs w:val="20"/>
              </w:rPr>
            </w:pPr>
          </w:p>
        </w:tc>
        <w:tc>
          <w:tcPr>
            <w:tcW w:w="2059" w:type="dxa"/>
            <w:tcBorders>
              <w:top w:val="single" w:color="auto" w:sz="4" w:space="0"/>
            </w:tcBorders>
            <w:shd w:val="clear" w:color="FFFFFF" w:fill="FFFFFF"/>
            <w:vAlign w:val="center"/>
          </w:tcPr>
          <w:p>
            <w:pPr>
              <w:adjustRightInd w:val="0"/>
              <w:snapToGrid w:val="0"/>
              <w:spacing w:line="320" w:lineRule="exact"/>
              <w:jc w:val="center"/>
              <w:rPr>
                <w:b/>
                <w:bCs/>
                <w:sz w:val="20"/>
                <w:szCs w:val="20"/>
              </w:rPr>
            </w:pP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i w:val="0"/>
                <w:color w:val="auto"/>
                <w:position w:val="-1"/>
                <w:sz w:val="20"/>
                <w:u w:val="none"/>
              </w:rPr>
              <w:t>流动资产：</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p>
        </w:tc>
        <w:tc>
          <w:tcPr>
            <w:tcW w:w="2059" w:type="dxa"/>
            <w:shd w:val="clear" w:color="FFFFFF" w:fill="FFFFFF"/>
            <w:vAlign w:val="center"/>
          </w:tcPr>
          <w:p>
            <w:pPr>
              <w:pageBreakBefore w:val="0"/>
              <w:spacing w:line="320" w:lineRule="exact"/>
              <w:jc w:val="right"/>
              <w:textAlignment w:val="auto"/>
            </w:pP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货币资金</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附表1</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15.69</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9.59</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短期投资</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财政应返还额度</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325.60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382.53</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应收票据</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应收账款净额</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附表2</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预付账款</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附表3</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应收股利</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应收利息</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其他应收款净额</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附表4</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732.48</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756.35</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存货</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待摊费用</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一年内到期的非流动资产</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其他流动资产</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i w:val="0"/>
                <w:color w:val="auto"/>
                <w:position w:val="-1"/>
                <w:sz w:val="20"/>
                <w:u w:val="none"/>
              </w:rPr>
              <w:t>流动资产合计</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1,073.77</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1,148.47</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非流动资产：</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p>
        </w:tc>
        <w:tc>
          <w:tcPr>
            <w:tcW w:w="2059" w:type="dxa"/>
            <w:shd w:val="clear" w:color="FFFFFF" w:fill="FFFFFF"/>
            <w:vAlign w:val="center"/>
          </w:tcPr>
          <w:p>
            <w:pPr>
              <w:pageBreakBefore w:val="0"/>
              <w:spacing w:line="320" w:lineRule="exact"/>
              <w:jc w:val="right"/>
              <w:textAlignment w:val="auto"/>
            </w:pP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长期股权投资</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附表5</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长期债券投资</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附表5</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固定资产原值</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848.68</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827.89</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减：固定资产累计折旧</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440.48</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370.84</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固定资产净值</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附表6</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408.20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457.05</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工程物资</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在建工程</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附表7</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32.47</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32.47</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无形资产原值</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11.56</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5.71</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减：无形资产累计摊销</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3.64</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0.54</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无形资产净值</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附表8</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7.92</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5.17</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研发支出</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公共基础设施原值</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附表9</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减：公共基础设施累计折旧（摊销）</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附表9</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公共基础设施净值</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附表9</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政府储备物资</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附表10</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文物文化资产</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保障性住房原值</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减：保障性住房累计折旧</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保障性住房净值</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附表11</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长期待摊费用</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待处理财产损溢</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其他非流动资产</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i w:val="0"/>
                <w:color w:val="auto"/>
                <w:position w:val="-1"/>
                <w:sz w:val="20"/>
                <w:u w:val="none"/>
              </w:rPr>
              <w:t>非流动资产合计</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448.59</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494.69</w:t>
            </w:r>
          </w:p>
        </w:tc>
      </w:tr>
      <w:tr>
        <w:tblPrEx>
          <w:tblCellMar>
            <w:top w:w="0" w:type="dxa"/>
            <w:left w:w="108" w:type="dxa"/>
            <w:bottom w:w="0" w:type="dxa"/>
            <w:right w:w="108" w:type="dxa"/>
          </w:tblCellMar>
        </w:tblPrEx>
        <w:trPr>
          <w:trHeight w:val="455" w:hRule="atLeast"/>
          <w:jc w:val="center"/>
        </w:trPr>
        <w:tc>
          <w:tcPr>
            <w:tcW w:w="3890" w:type="dxa"/>
            <w:tcBorders>
              <w:bottom w:val="single" w:color="auto" w:sz="4" w:space="0"/>
            </w:tcBorders>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i w:val="0"/>
                <w:color w:val="auto"/>
                <w:position w:val="-1"/>
                <w:sz w:val="20"/>
                <w:u w:val="none"/>
              </w:rPr>
              <w:t>受托代理资产</w:t>
            </w:r>
          </w:p>
        </w:tc>
        <w:tc>
          <w:tcPr>
            <w:tcW w:w="1276" w:type="dxa"/>
            <w:tcBorders>
              <w:bottom w:val="single" w:color="auto" w:sz="4" w:space="0"/>
            </w:tcBorders>
            <w:shd w:val="clear" w:color="FFFFFF" w:fill="FFFFFF"/>
            <w:vAlign w:val="center"/>
          </w:tcPr>
          <w:p>
            <w:pPr>
              <w:pageBreakBefore w:val="0"/>
              <w:spacing w:line="320" w:lineRule="exact"/>
              <w:jc w:val="center"/>
              <w:textAlignment w:val="auto"/>
            </w:pPr>
          </w:p>
        </w:tc>
        <w:tc>
          <w:tcPr>
            <w:tcW w:w="1733" w:type="dxa"/>
            <w:tcBorders>
              <w:bottom w:val="single" w:color="auto" w:sz="4" w:space="0"/>
            </w:tcBorders>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tcBorders>
              <w:bottom w:val="single" w:color="auto" w:sz="4" w:space="0"/>
            </w:tcBorders>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455" w:hRule="atLeast"/>
          <w:jc w:val="center"/>
        </w:trPr>
        <w:tc>
          <w:tcPr>
            <w:tcW w:w="3890" w:type="dxa"/>
            <w:tcBorders>
              <w:bottom w:val="single" w:color="auto" w:sz="4" w:space="0"/>
            </w:tcBorders>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i w:val="0"/>
                <w:color w:val="auto"/>
                <w:position w:val="-1"/>
                <w:sz w:val="20"/>
                <w:u w:val="none"/>
              </w:rPr>
              <w:t>资产总计</w:t>
            </w:r>
          </w:p>
        </w:tc>
        <w:tc>
          <w:tcPr>
            <w:tcW w:w="1276" w:type="dxa"/>
            <w:tcBorders>
              <w:bottom w:val="single" w:color="auto" w:sz="4" w:space="0"/>
            </w:tcBorders>
            <w:shd w:val="clear" w:color="FFFFFF" w:fill="FFFFFF"/>
            <w:vAlign w:val="center"/>
          </w:tcPr>
          <w:p>
            <w:pPr>
              <w:pageBreakBefore w:val="0"/>
              <w:spacing w:line="320" w:lineRule="exact"/>
              <w:jc w:val="center"/>
              <w:textAlignment w:val="auto"/>
            </w:pPr>
          </w:p>
        </w:tc>
        <w:tc>
          <w:tcPr>
            <w:tcW w:w="1733" w:type="dxa"/>
            <w:tcBorders>
              <w:bottom w:val="single" w:color="auto" w:sz="4" w:space="0"/>
            </w:tcBorders>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1,522.36</w:t>
            </w:r>
          </w:p>
        </w:tc>
        <w:tc>
          <w:tcPr>
            <w:tcW w:w="2059" w:type="dxa"/>
            <w:tcBorders>
              <w:bottom w:val="single" w:color="auto" w:sz="4" w:space="0"/>
            </w:tcBorders>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1,643.16</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流动负债：</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p>
        </w:tc>
        <w:tc>
          <w:tcPr>
            <w:tcW w:w="2059" w:type="dxa"/>
            <w:shd w:val="clear" w:color="FFFFFF" w:fill="FFFFFF"/>
            <w:vAlign w:val="center"/>
          </w:tcPr>
          <w:p>
            <w:pPr>
              <w:pageBreakBefore w:val="0"/>
              <w:spacing w:line="320" w:lineRule="exact"/>
              <w:jc w:val="right"/>
              <w:textAlignment w:val="auto"/>
            </w:pP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短期借款</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应交增值税</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其他应交税费</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0.24</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0.18</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应缴财政款</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5.00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应付职工薪酬</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0.21</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0.01</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应付票据</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应付账款</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附表12</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应付政府补贴款</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应付利息</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预收账款</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附表13</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其他应付款</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附表14</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37.83</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39.97</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预提费用</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一年内到期的非流动负债</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其他流动负债</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i w:val="0"/>
                <w:color w:val="auto"/>
                <w:position w:val="-1"/>
                <w:sz w:val="20"/>
                <w:u w:val="none"/>
              </w:rPr>
              <w:t>流动负债合计</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38.28</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45.16</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非流动负债：</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p>
        </w:tc>
        <w:tc>
          <w:tcPr>
            <w:tcW w:w="2059" w:type="dxa"/>
            <w:shd w:val="clear" w:color="FFFFFF" w:fill="FFFFFF"/>
            <w:vAlign w:val="center"/>
          </w:tcPr>
          <w:p>
            <w:pPr>
              <w:pageBreakBefore w:val="0"/>
              <w:spacing w:line="320" w:lineRule="exact"/>
              <w:jc w:val="right"/>
              <w:textAlignment w:val="auto"/>
            </w:pP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长期借款</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附表15</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长期应付款</w:t>
            </w:r>
          </w:p>
        </w:tc>
        <w:tc>
          <w:tcPr>
            <w:tcW w:w="1276"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val="0"/>
                <w:i w:val="0"/>
                <w:color w:val="000000"/>
                <w:position w:val="-1"/>
                <w:sz w:val="20"/>
                <w:u w:val="none"/>
              </w:rPr>
              <w:t xml:space="preserve">  附表16</w:t>
            </w: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预计负债</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其他非流动负债</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center"/>
              <w:textAlignment w:val="auto"/>
            </w:pPr>
            <w:r>
              <w:rPr>
                <w:rFonts w:ascii="Times New Roman" w:hAnsi="Times New Roman" w:eastAsia="Times New Roman" w:cs="Times New Roman"/>
                <w:b/>
                <w:i w:val="0"/>
                <w:color w:val="auto"/>
                <w:position w:val="-1"/>
                <w:sz w:val="20"/>
                <w:u w:val="none"/>
              </w:rPr>
              <w:t>非流动负债合计</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455" w:hRule="atLeast"/>
          <w:jc w:val="center"/>
        </w:trPr>
        <w:tc>
          <w:tcPr>
            <w:tcW w:w="3890" w:type="dxa"/>
            <w:tcBorders>
              <w:bottom w:val="single" w:color="auto" w:sz="4" w:space="0"/>
            </w:tcBorders>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i w:val="0"/>
                <w:color w:val="auto"/>
                <w:position w:val="-1"/>
                <w:sz w:val="20"/>
                <w:u w:val="none"/>
              </w:rPr>
              <w:t>受托代理负债</w:t>
            </w:r>
          </w:p>
        </w:tc>
        <w:tc>
          <w:tcPr>
            <w:tcW w:w="1276" w:type="dxa"/>
            <w:tcBorders>
              <w:bottom w:val="single" w:color="auto" w:sz="4" w:space="0"/>
            </w:tcBorders>
            <w:shd w:val="clear" w:color="FFFFFF" w:fill="FFFFFF"/>
            <w:vAlign w:val="center"/>
          </w:tcPr>
          <w:p>
            <w:pPr>
              <w:pageBreakBefore w:val="0"/>
              <w:spacing w:line="320" w:lineRule="exact"/>
              <w:jc w:val="center"/>
              <w:textAlignment w:val="auto"/>
            </w:pPr>
          </w:p>
        </w:tc>
        <w:tc>
          <w:tcPr>
            <w:tcW w:w="1733" w:type="dxa"/>
            <w:tcBorders>
              <w:bottom w:val="single" w:color="auto" w:sz="4" w:space="0"/>
            </w:tcBorders>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tcBorders>
              <w:bottom w:val="single" w:color="auto" w:sz="4" w:space="0"/>
            </w:tcBorders>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455" w:hRule="atLeast"/>
          <w:jc w:val="center"/>
        </w:trPr>
        <w:tc>
          <w:tcPr>
            <w:tcW w:w="3890" w:type="dxa"/>
            <w:tcBorders>
              <w:bottom w:val="single" w:color="auto" w:sz="4" w:space="0"/>
            </w:tcBorders>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i w:val="0"/>
                <w:color w:val="auto"/>
                <w:position w:val="-1"/>
                <w:sz w:val="20"/>
                <w:u w:val="none"/>
              </w:rPr>
              <w:t>负债合计</w:t>
            </w:r>
          </w:p>
        </w:tc>
        <w:tc>
          <w:tcPr>
            <w:tcW w:w="1276" w:type="dxa"/>
            <w:tcBorders>
              <w:bottom w:val="single" w:color="auto" w:sz="4" w:space="0"/>
            </w:tcBorders>
            <w:shd w:val="clear" w:color="FFFFFF" w:fill="FFFFFF"/>
            <w:vAlign w:val="center"/>
          </w:tcPr>
          <w:p>
            <w:pPr>
              <w:pageBreakBefore w:val="0"/>
              <w:spacing w:line="320" w:lineRule="exact"/>
              <w:jc w:val="center"/>
              <w:textAlignment w:val="auto"/>
            </w:pPr>
          </w:p>
        </w:tc>
        <w:tc>
          <w:tcPr>
            <w:tcW w:w="1733" w:type="dxa"/>
            <w:tcBorders>
              <w:bottom w:val="single" w:color="auto" w:sz="4" w:space="0"/>
            </w:tcBorders>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38.28</w:t>
            </w:r>
          </w:p>
        </w:tc>
        <w:tc>
          <w:tcPr>
            <w:tcW w:w="2059" w:type="dxa"/>
            <w:tcBorders>
              <w:bottom w:val="single" w:color="auto" w:sz="4" w:space="0"/>
            </w:tcBorders>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45.16</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净资产:</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p>
        </w:tc>
        <w:tc>
          <w:tcPr>
            <w:tcW w:w="2059" w:type="dxa"/>
            <w:shd w:val="clear" w:color="FFFFFF" w:fill="FFFFFF"/>
            <w:vAlign w:val="center"/>
          </w:tcPr>
          <w:p>
            <w:pPr>
              <w:pageBreakBefore w:val="0"/>
              <w:spacing w:line="320" w:lineRule="exact"/>
              <w:jc w:val="right"/>
              <w:textAlignment w:val="auto"/>
            </w:pP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累计盈余</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1,484.08</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1,598.00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专用基金</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40" w:hRule="atLeast"/>
          <w:jc w:val="center"/>
        </w:trPr>
        <w:tc>
          <w:tcPr>
            <w:tcW w:w="3890" w:type="dxa"/>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val="0"/>
                <w:i w:val="0"/>
                <w:color w:val="auto"/>
                <w:position w:val="-1"/>
                <w:sz w:val="20"/>
                <w:u w:val="none"/>
              </w:rPr>
              <w:t xml:space="preserve">  权益法调整</w:t>
            </w:r>
          </w:p>
        </w:tc>
        <w:tc>
          <w:tcPr>
            <w:tcW w:w="1276" w:type="dxa"/>
            <w:shd w:val="clear" w:color="FFFFFF" w:fill="FFFFFF"/>
            <w:vAlign w:val="center"/>
          </w:tcPr>
          <w:p>
            <w:pPr>
              <w:pageBreakBefore w:val="0"/>
              <w:spacing w:line="320" w:lineRule="exact"/>
              <w:jc w:val="center"/>
              <w:textAlignment w:val="auto"/>
            </w:pPr>
          </w:p>
        </w:tc>
        <w:tc>
          <w:tcPr>
            <w:tcW w:w="1733"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c>
          <w:tcPr>
            <w:tcW w:w="2059" w:type="dxa"/>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455" w:hRule="atLeast"/>
          <w:jc w:val="center"/>
        </w:trPr>
        <w:tc>
          <w:tcPr>
            <w:tcW w:w="3890" w:type="dxa"/>
            <w:tcBorders>
              <w:bottom w:val="single" w:color="auto" w:sz="4" w:space="0"/>
            </w:tcBorders>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i w:val="0"/>
                <w:color w:val="auto"/>
                <w:position w:val="-1"/>
                <w:sz w:val="20"/>
                <w:u w:val="none"/>
              </w:rPr>
              <w:t>净资产</w:t>
            </w:r>
          </w:p>
        </w:tc>
        <w:tc>
          <w:tcPr>
            <w:tcW w:w="1276" w:type="dxa"/>
            <w:tcBorders>
              <w:bottom w:val="single" w:color="auto" w:sz="4" w:space="0"/>
            </w:tcBorders>
            <w:shd w:val="clear" w:color="FFFFFF" w:fill="FFFFFF"/>
            <w:vAlign w:val="center"/>
          </w:tcPr>
          <w:p>
            <w:pPr>
              <w:pageBreakBefore w:val="0"/>
              <w:spacing w:line="320" w:lineRule="exact"/>
              <w:jc w:val="center"/>
              <w:textAlignment w:val="auto"/>
            </w:pPr>
          </w:p>
        </w:tc>
        <w:tc>
          <w:tcPr>
            <w:tcW w:w="1733" w:type="dxa"/>
            <w:tcBorders>
              <w:bottom w:val="single" w:color="auto" w:sz="4" w:space="0"/>
            </w:tcBorders>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1,484.08</w:t>
            </w:r>
          </w:p>
        </w:tc>
        <w:tc>
          <w:tcPr>
            <w:tcW w:w="2059" w:type="dxa"/>
            <w:tcBorders>
              <w:bottom w:val="single" w:color="auto" w:sz="4" w:space="0"/>
            </w:tcBorders>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1,598.00</w:t>
            </w:r>
          </w:p>
        </w:tc>
      </w:tr>
      <w:tr>
        <w:tblPrEx>
          <w:tblCellMar>
            <w:top w:w="0" w:type="dxa"/>
            <w:left w:w="108" w:type="dxa"/>
            <w:bottom w:w="0" w:type="dxa"/>
            <w:right w:w="108" w:type="dxa"/>
          </w:tblCellMar>
        </w:tblPrEx>
        <w:trPr>
          <w:trHeight w:val="455" w:hRule="atLeast"/>
          <w:jc w:val="center"/>
        </w:trPr>
        <w:tc>
          <w:tcPr>
            <w:tcW w:w="3890" w:type="dxa"/>
            <w:tcBorders>
              <w:bottom w:val="single" w:color="auto" w:sz="4" w:space="0"/>
            </w:tcBorders>
            <w:shd w:val="clear" w:color="FFFFFF" w:fill="FFFFFF"/>
            <w:vAlign w:val="center"/>
          </w:tcPr>
          <w:p>
            <w:pPr>
              <w:pageBreakBefore w:val="0"/>
              <w:spacing w:line="320" w:lineRule="exact"/>
              <w:jc w:val="left"/>
              <w:textAlignment w:val="auto"/>
            </w:pPr>
            <w:r>
              <w:rPr>
                <w:rFonts w:ascii="Times New Roman" w:hAnsi="Times New Roman" w:eastAsia="Times New Roman" w:cs="Times New Roman"/>
                <w:b/>
                <w:i w:val="0"/>
                <w:color w:val="auto"/>
                <w:position w:val="-1"/>
                <w:sz w:val="20"/>
                <w:u w:val="none"/>
              </w:rPr>
              <w:t>负债及净资产总计</w:t>
            </w:r>
          </w:p>
        </w:tc>
        <w:tc>
          <w:tcPr>
            <w:tcW w:w="1276" w:type="dxa"/>
            <w:tcBorders>
              <w:bottom w:val="single" w:color="auto" w:sz="4" w:space="0"/>
            </w:tcBorders>
            <w:shd w:val="clear" w:color="FFFFFF" w:fill="FFFFFF"/>
            <w:vAlign w:val="center"/>
          </w:tcPr>
          <w:p>
            <w:pPr>
              <w:pageBreakBefore w:val="0"/>
              <w:spacing w:line="320" w:lineRule="exact"/>
              <w:jc w:val="center"/>
              <w:textAlignment w:val="auto"/>
            </w:pPr>
          </w:p>
        </w:tc>
        <w:tc>
          <w:tcPr>
            <w:tcW w:w="1733" w:type="dxa"/>
            <w:tcBorders>
              <w:bottom w:val="single" w:color="auto" w:sz="4" w:space="0"/>
            </w:tcBorders>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1,522.36</w:t>
            </w:r>
          </w:p>
        </w:tc>
        <w:tc>
          <w:tcPr>
            <w:tcW w:w="2059" w:type="dxa"/>
            <w:tcBorders>
              <w:bottom w:val="single" w:color="auto" w:sz="4" w:space="0"/>
            </w:tcBorders>
            <w:shd w:val="clear" w:color="FFFFFF" w:fill="FFFFFF"/>
            <w:vAlign w:val="center"/>
          </w:tcPr>
          <w:p>
            <w:pPr>
              <w:pageBreakBefore w:val="0"/>
              <w:spacing w:line="320" w:lineRule="exact"/>
              <w:jc w:val="right"/>
              <w:textAlignment w:val="auto"/>
            </w:pPr>
            <w:r>
              <w:rPr>
                <w:rFonts w:ascii="Times New Roman" w:hAnsi="Times New Roman" w:eastAsia="Times New Roman" w:cs="Times New Roman"/>
                <w:b w:val="0"/>
                <w:i w:val="0"/>
                <w:color w:val="000000"/>
                <w:position w:val="-1"/>
                <w:sz w:val="20"/>
                <w:u w:val="none"/>
              </w:rPr>
              <w:t>1,643.16</w:t>
            </w:r>
          </w:p>
        </w:tc>
      </w:tr>
    </w:tbl>
    <w:p>
      <w:pPr>
        <w:pStyle w:val="111"/>
        <w:ind w:firstLine="0" w:firstLineChars="0"/>
        <w:rPr>
          <w:rFonts w:asciiTheme="minorEastAsia" w:hAnsiTheme="minorEastAsia" w:eastAsiaTheme="minorEastAsia"/>
          <w:sz w:val="22"/>
        </w:rPr>
      </w:pPr>
      <w:bookmarkStart w:id="36" w:name="_Toc435361947"/>
      <w:bookmarkStart w:id="37" w:name="_Toc435362292"/>
      <w:bookmarkStart w:id="38" w:name="_Toc435362065"/>
      <w:bookmarkStart w:id="39" w:name="_Toc435362490"/>
    </w:p>
    <w:p>
      <w:r>
        <w:rPr>
          <w:rFonts w:hint="eastAsia"/>
        </w:rPr>
        <w:t>表</w:t>
      </w:r>
      <w:r>
        <w:t>2</w:t>
      </w:r>
      <w:bookmarkEnd w:id="36"/>
      <w:bookmarkEnd w:id="37"/>
      <w:bookmarkEnd w:id="38"/>
      <w:bookmarkEnd w:id="39"/>
      <w:r>
        <w:rPr>
          <w:rFonts w:hint="eastAsia"/>
        </w:rPr>
        <w:t>-1</w:t>
      </w:r>
    </w:p>
    <w:p>
      <w:pPr>
        <w:spacing w:before="2" w:line="360" w:lineRule="auto"/>
        <w:ind w:firstLine="562" w:firstLineChars="200"/>
        <w:jc w:val="center"/>
        <w:outlineLvl w:val="2"/>
        <w:rPr>
          <w:rFonts w:cs="Times New Roman" w:asciiTheme="majorEastAsia" w:hAnsiTheme="majorEastAsia" w:eastAsiaTheme="majorEastAsia"/>
          <w:b/>
          <w:bCs/>
          <w:kern w:val="2"/>
          <w:sz w:val="28"/>
          <w:szCs w:val="28"/>
        </w:rPr>
      </w:pPr>
      <w:bookmarkStart w:id="40" w:name="_Toc35500804"/>
      <w:bookmarkStart w:id="41" w:name="_Toc35452578"/>
      <w:r>
        <w:rPr>
          <w:rFonts w:hint="eastAsia" w:cs="Times New Roman" w:asciiTheme="majorEastAsia" w:hAnsiTheme="majorEastAsia" w:eastAsiaTheme="majorEastAsia"/>
          <w:b/>
          <w:bCs/>
          <w:kern w:val="2"/>
          <w:sz w:val="28"/>
          <w:szCs w:val="28"/>
        </w:rPr>
        <w:t>收入费用表</w:t>
      </w:r>
      <w:r>
        <w:rPr>
          <w:rFonts w:cs="Times New Roman" w:asciiTheme="majorEastAsia" w:hAnsiTheme="majorEastAsia" w:eastAsiaTheme="majorEastAsia"/>
          <w:b/>
          <w:bCs/>
          <w:kern w:val="2"/>
          <w:sz w:val="28"/>
          <w:szCs w:val="28"/>
        </w:rPr>
        <w:t>（1）</w:t>
      </w:r>
      <w:bookmarkEnd w:id="40"/>
      <w:bookmarkEnd w:id="41"/>
    </w:p>
    <w:p>
      <w:pPr>
        <w:tabs>
          <w:tab w:val="left" w:pos="4962"/>
          <w:tab w:val="left" w:pos="7150"/>
        </w:tabs>
        <w:adjustRightInd w:val="0"/>
        <w:snapToGrid w:val="0"/>
        <w:spacing w:line="320" w:lineRule="exact"/>
        <w:ind w:left="-425" w:leftChars="-177"/>
        <w:rPr>
          <w:b/>
          <w:bCs/>
          <w:sz w:val="20"/>
          <w:szCs w:val="20"/>
        </w:rPr>
      </w:pPr>
      <w:r>
        <w:rPr>
          <w:rFonts w:hint="eastAsia"/>
          <w:sz w:val="20"/>
          <w:szCs w:val="20"/>
        </w:rPr>
        <w:t>编制单位：内蒙古自治区巴彦淖尔市临河区司法局</w:t>
      </w:r>
      <w:r>
        <w:rPr>
          <w:b/>
          <w:bCs/>
          <w:sz w:val="20"/>
          <w:szCs w:val="20"/>
        </w:rPr>
        <w:tab/>
      </w:r>
      <w:r>
        <w:rPr>
          <w:rFonts w:hint="eastAsia"/>
          <w:sz w:val="20"/>
          <w:szCs w:val="20"/>
        </w:rPr>
        <w:t>2020  年</w:t>
      </w:r>
      <w:r>
        <w:rPr>
          <w:b/>
          <w:bCs/>
          <w:sz w:val="20"/>
          <w:szCs w:val="20"/>
        </w:rPr>
        <w:tab/>
      </w:r>
      <w:r>
        <w:rPr>
          <w:rFonts w:hint="eastAsia"/>
          <w:sz w:val="20"/>
          <w:szCs w:val="20"/>
        </w:rPr>
        <w:t>单位：万元</w:t>
      </w:r>
    </w:p>
    <w:tbl>
      <w:tblPr>
        <w:tblStyle w:val="35"/>
        <w:tblW w:w="9073" w:type="dxa"/>
        <w:tblInd w:w="-318" w:type="dxa"/>
        <w:tblLayout w:type="fixed"/>
        <w:tblCellMar>
          <w:top w:w="0" w:type="dxa"/>
          <w:left w:w="108" w:type="dxa"/>
          <w:bottom w:w="0" w:type="dxa"/>
          <w:right w:w="108" w:type="dxa"/>
        </w:tblCellMar>
      </w:tblPr>
      <w:tblGrid>
        <w:gridCol w:w="3687"/>
        <w:gridCol w:w="1417"/>
        <w:gridCol w:w="1985"/>
        <w:gridCol w:w="1984"/>
      </w:tblGrid>
      <w:tr>
        <w:tblPrEx>
          <w:tblCellMar>
            <w:top w:w="0" w:type="dxa"/>
            <w:left w:w="108" w:type="dxa"/>
            <w:bottom w:w="0" w:type="dxa"/>
            <w:right w:w="108" w:type="dxa"/>
          </w:tblCellMar>
        </w:tblPrEx>
        <w:trPr>
          <w:trHeight w:val="397" w:hRule="atLeast"/>
          <w:tblHeader/>
        </w:trPr>
        <w:tc>
          <w:tcPr>
            <w:tcW w:w="3687"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项目</w:t>
            </w:r>
          </w:p>
        </w:tc>
        <w:tc>
          <w:tcPr>
            <w:tcW w:w="1417"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附注</w:t>
            </w:r>
          </w:p>
        </w:tc>
        <w:tc>
          <w:tcPr>
            <w:tcW w:w="1985"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本年数</w:t>
            </w:r>
          </w:p>
        </w:tc>
        <w:tc>
          <w:tcPr>
            <w:tcW w:w="1984"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上年数</w:t>
            </w:r>
          </w:p>
        </w:tc>
      </w:tr>
      <w:tr>
        <w:tblPrEx>
          <w:tblCellMar>
            <w:top w:w="0" w:type="dxa"/>
            <w:left w:w="108" w:type="dxa"/>
            <w:bottom w:w="0" w:type="dxa"/>
            <w:right w:w="108" w:type="dxa"/>
          </w:tblCellMar>
        </w:tblPrEx>
        <w:trPr>
          <w:trHeight w:val="20" w:hRule="exact"/>
          <w:tblHeader/>
        </w:trPr>
        <w:tc>
          <w:tcPr>
            <w:tcW w:w="3687" w:type="dxa"/>
            <w:tcBorders>
              <w:top w:val="single" w:color="auto" w:sz="4" w:space="0"/>
            </w:tcBorders>
            <w:shd w:val="clear" w:color="FFFFFF" w:fill="FFFFFF"/>
            <w:vAlign w:val="center"/>
          </w:tcPr>
          <w:p>
            <w:pPr>
              <w:jc w:val="center"/>
              <w:rPr>
                <w:b/>
                <w:bCs/>
                <w:sz w:val="20"/>
                <w:szCs w:val="20"/>
              </w:rPr>
            </w:pPr>
          </w:p>
        </w:tc>
        <w:tc>
          <w:tcPr>
            <w:tcW w:w="1417" w:type="dxa"/>
            <w:tcBorders>
              <w:top w:val="single" w:color="auto" w:sz="4" w:space="0"/>
            </w:tcBorders>
            <w:shd w:val="clear" w:color="FFFFFF" w:fill="FFFFFF"/>
            <w:vAlign w:val="center"/>
          </w:tcPr>
          <w:p>
            <w:pPr>
              <w:jc w:val="center"/>
              <w:rPr>
                <w:b/>
                <w:bCs/>
                <w:sz w:val="20"/>
                <w:szCs w:val="20"/>
              </w:rPr>
            </w:pPr>
          </w:p>
        </w:tc>
        <w:tc>
          <w:tcPr>
            <w:tcW w:w="1985" w:type="dxa"/>
            <w:tcBorders>
              <w:top w:val="single" w:color="auto" w:sz="4" w:space="0"/>
            </w:tcBorders>
            <w:shd w:val="clear" w:color="FFFFFF" w:fill="FFFFFF"/>
            <w:vAlign w:val="center"/>
          </w:tcPr>
          <w:p>
            <w:pPr>
              <w:jc w:val="center"/>
              <w:rPr>
                <w:b/>
                <w:bCs/>
                <w:sz w:val="20"/>
                <w:szCs w:val="20"/>
              </w:rPr>
            </w:pPr>
          </w:p>
        </w:tc>
        <w:tc>
          <w:tcPr>
            <w:tcW w:w="1984" w:type="dxa"/>
            <w:tcBorders>
              <w:top w:val="single" w:color="auto" w:sz="4" w:space="0"/>
            </w:tcBorders>
            <w:shd w:val="clear" w:color="FFFFFF" w:fill="FFFFFF"/>
            <w:vAlign w:val="center"/>
          </w:tcPr>
          <w:p>
            <w:pPr>
              <w:jc w:val="center"/>
              <w:rPr>
                <w:b/>
                <w:bCs/>
                <w:sz w:val="20"/>
                <w:szCs w:val="20"/>
              </w:rPr>
            </w:pP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财政拨款收入</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1,271.04</w:t>
            </w:r>
          </w:p>
        </w:tc>
        <w:tc>
          <w:tcPr>
            <w:tcW w:w="1984" w:type="dxa"/>
            <w:shd w:val="clear" w:color="FFFFFF" w:fill="FFFFFF"/>
            <w:vAlign w:val="center"/>
          </w:tcPr>
          <w:p>
            <w:pPr>
              <w:pageBreakBefore w:val="0"/>
              <w:jc w:val="right"/>
              <w:textAlignment w:val="auto"/>
            </w:pPr>
            <w:r>
              <w:rPr>
                <w:b w:val="0"/>
                <w:i w:val="0"/>
                <w:color w:val="auto"/>
                <w:position w:val="-1"/>
                <w:sz w:val="20"/>
                <w:u w:val="none"/>
              </w:rPr>
              <w:t>1,257.76</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事业收入</w:t>
            </w:r>
          </w:p>
        </w:tc>
        <w:tc>
          <w:tcPr>
            <w:tcW w:w="1417" w:type="dxa"/>
            <w:shd w:val="clear" w:color="FFFFFF" w:fill="FFFFFF"/>
            <w:vAlign w:val="center"/>
          </w:tcPr>
          <w:p>
            <w:pPr>
              <w:pageBreakBefore w:val="0"/>
              <w:jc w:val="center"/>
              <w:textAlignment w:val="auto"/>
            </w:pPr>
            <w:r>
              <w:rPr>
                <w:rFonts w:ascii="Times New Roman" w:hAnsi="Times New Roman" w:eastAsia="Times New Roman" w:cs="Times New Roman"/>
                <w:b w:val="0"/>
                <w:i w:val="0"/>
                <w:color w:val="000000"/>
                <w:position w:val="-1"/>
                <w:sz w:val="20"/>
                <w:u w:val="none"/>
              </w:rPr>
              <w:t xml:space="preserve">  附表17</w:t>
            </w: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上级补助收入</w:t>
            </w:r>
          </w:p>
        </w:tc>
        <w:tc>
          <w:tcPr>
            <w:tcW w:w="1417" w:type="dxa"/>
            <w:shd w:val="clear" w:color="FFFFFF" w:fill="FFFFFF"/>
            <w:vAlign w:val="center"/>
          </w:tcPr>
          <w:p>
            <w:pPr>
              <w:pageBreakBefore w:val="0"/>
              <w:jc w:val="center"/>
              <w:textAlignment w:val="auto"/>
            </w:pPr>
            <w:r>
              <w:rPr>
                <w:rFonts w:ascii="Times New Roman" w:hAnsi="Times New Roman" w:eastAsia="Times New Roman" w:cs="Times New Roman"/>
                <w:b w:val="0"/>
                <w:i w:val="0"/>
                <w:color w:val="000000"/>
                <w:position w:val="-1"/>
                <w:sz w:val="20"/>
                <w:u w:val="none"/>
              </w:rPr>
              <w:t xml:space="preserve">  附表25</w:t>
            </w: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附属单位上缴收入</w:t>
            </w:r>
          </w:p>
        </w:tc>
        <w:tc>
          <w:tcPr>
            <w:tcW w:w="1417" w:type="dxa"/>
            <w:shd w:val="clear" w:color="FFFFFF" w:fill="FFFFFF"/>
            <w:vAlign w:val="center"/>
          </w:tcPr>
          <w:p>
            <w:pPr>
              <w:pageBreakBefore w:val="0"/>
              <w:jc w:val="center"/>
              <w:textAlignment w:val="auto"/>
            </w:pPr>
            <w:r>
              <w:rPr>
                <w:rFonts w:ascii="Times New Roman" w:hAnsi="Times New Roman" w:eastAsia="Times New Roman" w:cs="Times New Roman"/>
                <w:b w:val="0"/>
                <w:i w:val="0"/>
                <w:color w:val="000000"/>
                <w:position w:val="-1"/>
                <w:sz w:val="20"/>
                <w:u w:val="none"/>
              </w:rPr>
              <w:t xml:space="preserve">  附表27</w:t>
            </w: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经营收入</w:t>
            </w:r>
          </w:p>
        </w:tc>
        <w:tc>
          <w:tcPr>
            <w:tcW w:w="1417" w:type="dxa"/>
            <w:shd w:val="clear" w:color="FFFFFF" w:fill="FFFFFF"/>
            <w:vAlign w:val="center"/>
          </w:tcPr>
          <w:p>
            <w:pPr>
              <w:pageBreakBefore w:val="0"/>
              <w:jc w:val="center"/>
              <w:textAlignment w:val="auto"/>
            </w:pPr>
            <w:r>
              <w:rPr>
                <w:rFonts w:ascii="Times New Roman" w:hAnsi="Times New Roman" w:eastAsia="Times New Roman" w:cs="Times New Roman"/>
                <w:b w:val="0"/>
                <w:i w:val="0"/>
                <w:color w:val="000000"/>
                <w:position w:val="-1"/>
                <w:sz w:val="20"/>
                <w:u w:val="none"/>
              </w:rPr>
              <w:t xml:space="preserve">  附表18</w:t>
            </w: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非同级财政拨款收入</w:t>
            </w:r>
          </w:p>
        </w:tc>
        <w:tc>
          <w:tcPr>
            <w:tcW w:w="1417" w:type="dxa"/>
            <w:shd w:val="clear" w:color="FFFFFF" w:fill="FFFFFF"/>
            <w:vAlign w:val="center"/>
          </w:tcPr>
          <w:p>
            <w:pPr>
              <w:pageBreakBefore w:val="0"/>
              <w:jc w:val="center"/>
              <w:textAlignment w:val="auto"/>
            </w:pPr>
            <w:r>
              <w:rPr>
                <w:rFonts w:ascii="Times New Roman" w:hAnsi="Times New Roman" w:eastAsia="Times New Roman" w:cs="Times New Roman"/>
                <w:b w:val="0"/>
                <w:i w:val="0"/>
                <w:color w:val="000000"/>
                <w:position w:val="-1"/>
                <w:sz w:val="20"/>
                <w:u w:val="none"/>
              </w:rPr>
              <w:t xml:space="preserve">  附表19</w:t>
            </w: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投资收益</w:t>
            </w:r>
          </w:p>
        </w:tc>
        <w:tc>
          <w:tcPr>
            <w:tcW w:w="1417" w:type="dxa"/>
            <w:shd w:val="clear" w:color="FFFFFF" w:fill="FFFFFF"/>
            <w:vAlign w:val="center"/>
          </w:tcPr>
          <w:p>
            <w:pPr>
              <w:pageBreakBefore w:val="0"/>
              <w:jc w:val="center"/>
              <w:textAlignment w:val="auto"/>
            </w:pPr>
            <w:r>
              <w:rPr>
                <w:rFonts w:ascii="Times New Roman" w:hAnsi="Times New Roman" w:eastAsia="Times New Roman" w:cs="Times New Roman"/>
                <w:b w:val="0"/>
                <w:i w:val="0"/>
                <w:color w:val="000000"/>
                <w:position w:val="-1"/>
                <w:sz w:val="20"/>
                <w:u w:val="none"/>
              </w:rPr>
              <w:t xml:space="preserve">  附表5</w:t>
            </w: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捐赠收入</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2.63</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利息收入</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0.08</w:t>
            </w:r>
          </w:p>
        </w:tc>
        <w:tc>
          <w:tcPr>
            <w:tcW w:w="1984" w:type="dxa"/>
            <w:shd w:val="clear" w:color="FFFFFF" w:fill="FFFFFF"/>
            <w:vAlign w:val="center"/>
          </w:tcPr>
          <w:p>
            <w:pPr>
              <w:pageBreakBefore w:val="0"/>
              <w:jc w:val="right"/>
              <w:textAlignment w:val="auto"/>
            </w:pPr>
            <w:r>
              <w:rPr>
                <w:b w:val="0"/>
                <w:i w:val="0"/>
                <w:color w:val="auto"/>
                <w:position w:val="-1"/>
                <w:sz w:val="20"/>
                <w:u w:val="none"/>
              </w:rPr>
              <w:t>0.07</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租金收入</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其他收入</w:t>
            </w:r>
          </w:p>
        </w:tc>
        <w:tc>
          <w:tcPr>
            <w:tcW w:w="1417" w:type="dxa"/>
            <w:shd w:val="clear" w:color="FFFFFF" w:fill="FFFFFF"/>
            <w:vAlign w:val="center"/>
          </w:tcPr>
          <w:p>
            <w:pPr>
              <w:pageBreakBefore w:val="0"/>
              <w:jc w:val="center"/>
              <w:textAlignment w:val="auto"/>
            </w:pPr>
            <w:r>
              <w:rPr>
                <w:rFonts w:ascii="Times New Roman" w:hAnsi="Times New Roman" w:eastAsia="Times New Roman" w:cs="Times New Roman"/>
                <w:b w:val="0"/>
                <w:i w:val="0"/>
                <w:color w:val="000000"/>
                <w:position w:val="-1"/>
                <w:sz w:val="20"/>
                <w:u w:val="none"/>
              </w:rPr>
              <w:t xml:space="preserve">  附表20</w:t>
            </w: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0.05</w:t>
            </w:r>
          </w:p>
        </w:tc>
        <w:tc>
          <w:tcPr>
            <w:tcW w:w="1984" w:type="dxa"/>
            <w:shd w:val="clear" w:color="FFFFFF" w:fill="FFFFFF"/>
            <w:vAlign w:val="center"/>
          </w:tcPr>
          <w:p>
            <w:pPr>
              <w:pageBreakBefore w:val="0"/>
              <w:jc w:val="right"/>
              <w:textAlignment w:val="auto"/>
            </w:pPr>
            <w:r>
              <w:rPr>
                <w:b w:val="0"/>
                <w:i w:val="0"/>
                <w:color w:val="auto"/>
                <w:position w:val="-1"/>
                <w:sz w:val="20"/>
                <w:u w:val="none"/>
              </w:rPr>
              <w:t>2.00</w:t>
            </w:r>
          </w:p>
        </w:tc>
      </w:tr>
      <w:tr>
        <w:tblPrEx>
          <w:tblCellMar>
            <w:top w:w="0" w:type="dxa"/>
            <w:left w:w="108" w:type="dxa"/>
            <w:bottom w:w="0" w:type="dxa"/>
            <w:right w:w="108" w:type="dxa"/>
          </w:tblCellMar>
        </w:tblPrEx>
        <w:trPr>
          <w:trHeight w:val="455" w:hRule="atLeast"/>
        </w:trPr>
        <w:tc>
          <w:tcPr>
            <w:tcW w:w="3687" w:type="dxa"/>
            <w:tcBorders>
              <w:bottom w:val="single" w:color="auto" w:sz="4" w:space="0"/>
            </w:tcBorders>
            <w:shd w:val="clear" w:color="FFFFFF" w:fill="FFFFFF"/>
            <w:vAlign w:val="center"/>
          </w:tcPr>
          <w:p>
            <w:pPr>
              <w:pageBreakBefore w:val="0"/>
              <w:jc w:val="left"/>
              <w:textAlignment w:val="auto"/>
            </w:pPr>
            <w:r>
              <w:rPr>
                <w:rFonts w:ascii="Times New Roman" w:hAnsi="Times New Roman" w:eastAsia="Times New Roman" w:cs="Times New Roman"/>
                <w:b/>
                <w:i w:val="0"/>
                <w:color w:val="000000"/>
                <w:position w:val="-1"/>
                <w:sz w:val="20"/>
                <w:u w:val="none"/>
              </w:rPr>
              <w:t>收入合计</w:t>
            </w:r>
          </w:p>
        </w:tc>
        <w:tc>
          <w:tcPr>
            <w:tcW w:w="1417" w:type="dxa"/>
            <w:tcBorders>
              <w:bottom w:val="single" w:color="auto" w:sz="4" w:space="0"/>
            </w:tcBorders>
            <w:shd w:val="clear" w:color="FFFFFF" w:fill="FFFFFF"/>
            <w:vAlign w:val="center"/>
          </w:tcPr>
          <w:p>
            <w:pPr>
              <w:pageBreakBefore w:val="0"/>
              <w:jc w:val="center"/>
              <w:textAlignment w:val="auto"/>
            </w:pPr>
          </w:p>
        </w:tc>
        <w:tc>
          <w:tcPr>
            <w:tcW w:w="1985" w:type="dxa"/>
            <w:tcBorders>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1,273.80</w:t>
            </w:r>
          </w:p>
        </w:tc>
        <w:tc>
          <w:tcPr>
            <w:tcW w:w="1984" w:type="dxa"/>
            <w:tcBorders>
              <w:bottom w:val="single" w:color="auto" w:sz="4" w:space="0"/>
            </w:tcBorders>
            <w:shd w:val="clear" w:color="FFFFFF" w:fill="FFFFFF"/>
            <w:vAlign w:val="center"/>
          </w:tcPr>
          <w:p>
            <w:pPr>
              <w:pageBreakBefore w:val="0"/>
              <w:jc w:val="right"/>
              <w:textAlignment w:val="auto"/>
            </w:pPr>
            <w:r>
              <w:rPr>
                <w:b w:val="0"/>
                <w:i w:val="0"/>
                <w:color w:val="auto"/>
                <w:position w:val="-1"/>
                <w:sz w:val="20"/>
                <w:u w:val="none"/>
              </w:rPr>
              <w:t>1,259.83</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业务活动费用</w:t>
            </w:r>
          </w:p>
        </w:tc>
        <w:tc>
          <w:tcPr>
            <w:tcW w:w="1417" w:type="dxa"/>
            <w:shd w:val="clear" w:color="FFFFFF" w:fill="FFFFFF"/>
            <w:vAlign w:val="center"/>
          </w:tcPr>
          <w:p>
            <w:pPr>
              <w:pageBreakBefore w:val="0"/>
              <w:jc w:val="center"/>
              <w:textAlignment w:val="auto"/>
            </w:pPr>
            <w:r>
              <w:rPr>
                <w:rFonts w:ascii="Times New Roman" w:hAnsi="Times New Roman" w:eastAsia="Times New Roman" w:cs="Times New Roman"/>
                <w:b w:val="0"/>
                <w:i w:val="0"/>
                <w:color w:val="000000"/>
                <w:position w:val="-1"/>
                <w:sz w:val="20"/>
                <w:u w:val="none"/>
              </w:rPr>
              <w:t xml:space="preserve">  附表21</w:t>
            </w: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1,368.60</w:t>
            </w:r>
          </w:p>
        </w:tc>
        <w:tc>
          <w:tcPr>
            <w:tcW w:w="1984" w:type="dxa"/>
            <w:shd w:val="clear" w:color="FFFFFF" w:fill="FFFFFF"/>
            <w:vAlign w:val="center"/>
          </w:tcPr>
          <w:p>
            <w:pPr>
              <w:pageBreakBefore w:val="0"/>
              <w:jc w:val="right"/>
              <w:textAlignment w:val="auto"/>
            </w:pPr>
            <w:r>
              <w:rPr>
                <w:b w:val="0"/>
                <w:i w:val="0"/>
                <w:color w:val="auto"/>
                <w:position w:val="-1"/>
                <w:sz w:val="20"/>
                <w:u w:val="none"/>
              </w:rPr>
              <w:t>1,207.40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单位管理费用</w:t>
            </w:r>
          </w:p>
        </w:tc>
        <w:tc>
          <w:tcPr>
            <w:tcW w:w="1417" w:type="dxa"/>
            <w:shd w:val="clear" w:color="FFFFFF" w:fill="FFFFFF"/>
            <w:vAlign w:val="center"/>
          </w:tcPr>
          <w:p>
            <w:pPr>
              <w:pageBreakBefore w:val="0"/>
              <w:jc w:val="center"/>
              <w:textAlignment w:val="auto"/>
            </w:pPr>
            <w:r>
              <w:rPr>
                <w:rFonts w:ascii="Times New Roman" w:hAnsi="Times New Roman" w:eastAsia="Times New Roman" w:cs="Times New Roman"/>
                <w:b w:val="0"/>
                <w:i w:val="0"/>
                <w:color w:val="000000"/>
                <w:position w:val="-1"/>
                <w:sz w:val="20"/>
                <w:u w:val="none"/>
              </w:rPr>
              <w:t xml:space="preserve">  附表22</w:t>
            </w: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0.36</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经营费用</w:t>
            </w:r>
          </w:p>
        </w:tc>
        <w:tc>
          <w:tcPr>
            <w:tcW w:w="1417" w:type="dxa"/>
            <w:shd w:val="clear" w:color="FFFFFF" w:fill="FFFFFF"/>
            <w:vAlign w:val="center"/>
          </w:tcPr>
          <w:p>
            <w:pPr>
              <w:pageBreakBefore w:val="0"/>
              <w:jc w:val="center"/>
              <w:textAlignment w:val="auto"/>
            </w:pPr>
            <w:r>
              <w:rPr>
                <w:rFonts w:ascii="Times New Roman" w:hAnsi="Times New Roman" w:eastAsia="Times New Roman" w:cs="Times New Roman"/>
                <w:b w:val="0"/>
                <w:i w:val="0"/>
                <w:color w:val="000000"/>
                <w:position w:val="-1"/>
                <w:sz w:val="20"/>
                <w:u w:val="none"/>
              </w:rPr>
              <w:t xml:space="preserve">  附表23</w:t>
            </w: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资产处置费用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5.68</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上缴上级费用</w:t>
            </w:r>
          </w:p>
        </w:tc>
        <w:tc>
          <w:tcPr>
            <w:tcW w:w="1417" w:type="dxa"/>
            <w:shd w:val="clear" w:color="FFFFFF" w:fill="FFFFFF"/>
            <w:vAlign w:val="center"/>
          </w:tcPr>
          <w:p>
            <w:pPr>
              <w:pageBreakBefore w:val="0"/>
              <w:jc w:val="center"/>
              <w:textAlignment w:val="auto"/>
            </w:pPr>
            <w:r>
              <w:rPr>
                <w:rFonts w:ascii="Times New Roman" w:hAnsi="Times New Roman" w:eastAsia="Times New Roman" w:cs="Times New Roman"/>
                <w:b w:val="0"/>
                <w:i w:val="0"/>
                <w:color w:val="000000"/>
                <w:position w:val="-1"/>
                <w:sz w:val="20"/>
                <w:u w:val="none"/>
              </w:rPr>
              <w:t xml:space="preserve">  附表28</w:t>
            </w: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对附属单位补助费用</w:t>
            </w:r>
          </w:p>
        </w:tc>
        <w:tc>
          <w:tcPr>
            <w:tcW w:w="1417" w:type="dxa"/>
            <w:shd w:val="clear" w:color="FFFFFF" w:fill="FFFFFF"/>
            <w:vAlign w:val="center"/>
          </w:tcPr>
          <w:p>
            <w:pPr>
              <w:pageBreakBefore w:val="0"/>
              <w:jc w:val="center"/>
              <w:textAlignment w:val="auto"/>
            </w:pPr>
            <w:r>
              <w:rPr>
                <w:rFonts w:ascii="Times New Roman" w:hAnsi="Times New Roman" w:eastAsia="Times New Roman" w:cs="Times New Roman"/>
                <w:b w:val="0"/>
                <w:i w:val="0"/>
                <w:color w:val="000000"/>
                <w:position w:val="-1"/>
                <w:sz w:val="20"/>
                <w:u w:val="none"/>
              </w:rPr>
              <w:t xml:space="preserve">  附表26</w:t>
            </w: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所得税费用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rFonts w:ascii="Times New Roman" w:hAnsi="Times New Roman" w:eastAsia="Times New Roman" w:cs="Times New Roman"/>
                <w:b w:val="0"/>
                <w:i w:val="0"/>
                <w:color w:val="000000"/>
                <w:position w:val="-1"/>
                <w:sz w:val="20"/>
                <w:u w:val="none"/>
              </w:rPr>
              <w:t xml:space="preserve">  其他费用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455" w:hRule="atLeast"/>
        </w:trPr>
        <w:tc>
          <w:tcPr>
            <w:tcW w:w="3687" w:type="dxa"/>
            <w:tcBorders>
              <w:bottom w:val="single" w:color="auto" w:sz="4" w:space="0"/>
            </w:tcBorders>
            <w:shd w:val="clear" w:color="FFFFFF" w:fill="FFFFFF"/>
            <w:vAlign w:val="center"/>
          </w:tcPr>
          <w:p>
            <w:pPr>
              <w:pageBreakBefore w:val="0"/>
              <w:jc w:val="left"/>
              <w:textAlignment w:val="auto"/>
            </w:pPr>
            <w:r>
              <w:rPr>
                <w:rFonts w:ascii="Times New Roman" w:hAnsi="Times New Roman" w:eastAsia="Times New Roman" w:cs="Times New Roman"/>
                <w:b/>
                <w:i w:val="0"/>
                <w:color w:val="000000"/>
                <w:position w:val="-1"/>
                <w:sz w:val="20"/>
                <w:u w:val="none"/>
              </w:rPr>
              <w:t>费用合计</w:t>
            </w:r>
          </w:p>
        </w:tc>
        <w:tc>
          <w:tcPr>
            <w:tcW w:w="1417" w:type="dxa"/>
            <w:tcBorders>
              <w:bottom w:val="single" w:color="auto" w:sz="4" w:space="0"/>
            </w:tcBorders>
            <w:shd w:val="clear" w:color="FFFFFF" w:fill="FFFFFF"/>
            <w:vAlign w:val="center"/>
          </w:tcPr>
          <w:p>
            <w:pPr>
              <w:pageBreakBefore w:val="0"/>
              <w:jc w:val="center"/>
              <w:textAlignment w:val="auto"/>
            </w:pPr>
          </w:p>
        </w:tc>
        <w:tc>
          <w:tcPr>
            <w:tcW w:w="1985" w:type="dxa"/>
            <w:tcBorders>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1,368.60</w:t>
            </w:r>
          </w:p>
        </w:tc>
        <w:tc>
          <w:tcPr>
            <w:tcW w:w="1984" w:type="dxa"/>
            <w:tcBorders>
              <w:bottom w:val="single" w:color="auto" w:sz="4" w:space="0"/>
            </w:tcBorders>
            <w:shd w:val="clear" w:color="FFFFFF" w:fill="FFFFFF"/>
            <w:vAlign w:val="center"/>
          </w:tcPr>
          <w:p>
            <w:pPr>
              <w:pageBreakBefore w:val="0"/>
              <w:jc w:val="right"/>
              <w:textAlignment w:val="auto"/>
            </w:pPr>
            <w:r>
              <w:rPr>
                <w:b w:val="0"/>
                <w:i w:val="0"/>
                <w:color w:val="auto"/>
                <w:position w:val="-1"/>
                <w:sz w:val="20"/>
                <w:u w:val="none"/>
              </w:rPr>
              <w:t>1,213.44</w:t>
            </w:r>
          </w:p>
        </w:tc>
      </w:tr>
      <w:tr>
        <w:tblPrEx>
          <w:tblCellMar>
            <w:top w:w="0" w:type="dxa"/>
            <w:left w:w="108" w:type="dxa"/>
            <w:bottom w:w="0" w:type="dxa"/>
            <w:right w:w="108" w:type="dxa"/>
          </w:tblCellMar>
        </w:tblPrEx>
        <w:trPr>
          <w:trHeight w:val="455" w:hRule="atLeast"/>
        </w:trPr>
        <w:tc>
          <w:tcPr>
            <w:tcW w:w="3687" w:type="dxa"/>
            <w:tcBorders>
              <w:bottom w:val="single" w:color="auto" w:sz="4" w:space="0"/>
            </w:tcBorders>
            <w:shd w:val="clear" w:color="FFFFFF" w:fill="FFFFFF"/>
            <w:vAlign w:val="center"/>
          </w:tcPr>
          <w:p>
            <w:pPr>
              <w:pageBreakBefore w:val="0"/>
              <w:jc w:val="center"/>
              <w:textAlignment w:val="auto"/>
            </w:pPr>
            <w:r>
              <w:rPr>
                <w:rFonts w:ascii="Times New Roman" w:hAnsi="Times New Roman" w:eastAsia="Times New Roman" w:cs="Times New Roman"/>
                <w:b/>
                <w:i w:val="0"/>
                <w:color w:val="000000"/>
                <w:position w:val="-1"/>
                <w:sz w:val="20"/>
                <w:u w:val="none"/>
              </w:rPr>
              <w:t>本年盈余</w:t>
            </w:r>
          </w:p>
        </w:tc>
        <w:tc>
          <w:tcPr>
            <w:tcW w:w="1417" w:type="dxa"/>
            <w:tcBorders>
              <w:bottom w:val="single" w:color="auto" w:sz="4" w:space="0"/>
            </w:tcBorders>
            <w:shd w:val="clear" w:color="FFFFFF" w:fill="FFFFFF"/>
            <w:vAlign w:val="center"/>
          </w:tcPr>
          <w:p>
            <w:pPr>
              <w:pageBreakBefore w:val="0"/>
              <w:jc w:val="center"/>
              <w:textAlignment w:val="auto"/>
            </w:pPr>
          </w:p>
        </w:tc>
        <w:tc>
          <w:tcPr>
            <w:tcW w:w="1985" w:type="dxa"/>
            <w:tcBorders>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-94.80</w:t>
            </w:r>
          </w:p>
        </w:tc>
        <w:tc>
          <w:tcPr>
            <w:tcW w:w="1984" w:type="dxa"/>
            <w:tcBorders>
              <w:bottom w:val="single" w:color="auto" w:sz="4" w:space="0"/>
            </w:tcBorders>
            <w:shd w:val="clear" w:color="FFFFFF" w:fill="FFFFFF"/>
            <w:vAlign w:val="center"/>
          </w:tcPr>
          <w:p>
            <w:pPr>
              <w:pageBreakBefore w:val="0"/>
              <w:jc w:val="right"/>
              <w:textAlignment w:val="auto"/>
            </w:pPr>
            <w:r>
              <w:rPr>
                <w:b w:val="0"/>
                <w:i w:val="0"/>
                <w:color w:val="auto"/>
                <w:position w:val="-1"/>
                <w:sz w:val="20"/>
                <w:u w:val="none"/>
              </w:rPr>
              <w:t>46.39</w:t>
            </w:r>
          </w:p>
        </w:tc>
      </w:tr>
    </w:tbl>
    <w:p>
      <w:pPr>
        <w:pStyle w:val="111"/>
        <w:ind w:firstLine="0" w:firstLineChars="0"/>
        <w:rPr>
          <w:rFonts w:asciiTheme="minorEastAsia" w:hAnsiTheme="minorEastAsia" w:eastAsiaTheme="minorEastAsia"/>
          <w:sz w:val="22"/>
        </w:rPr>
      </w:pPr>
    </w:p>
    <w:p>
      <w:r>
        <w:rPr>
          <w:rFonts w:hint="eastAsia"/>
        </w:rPr>
        <w:t>表</w:t>
      </w:r>
      <w:r>
        <w:t>2</w:t>
      </w:r>
      <w:r>
        <w:rPr>
          <w:rFonts w:hint="eastAsia"/>
        </w:rPr>
        <w:t>-2</w:t>
      </w:r>
      <w:r>
        <w:rPr>
          <w:rStyle w:val="43"/>
        </w:rPr>
        <w:footnoteReference w:id="0"/>
      </w:r>
    </w:p>
    <w:p>
      <w:pPr>
        <w:spacing w:before="2" w:line="360" w:lineRule="auto"/>
        <w:ind w:firstLine="562" w:firstLineChars="200"/>
        <w:jc w:val="center"/>
        <w:outlineLvl w:val="2"/>
        <w:rPr>
          <w:rFonts w:cs="Times New Roman" w:asciiTheme="majorEastAsia" w:hAnsiTheme="majorEastAsia" w:eastAsiaTheme="majorEastAsia"/>
          <w:b/>
          <w:bCs/>
          <w:kern w:val="2"/>
          <w:sz w:val="28"/>
          <w:szCs w:val="28"/>
        </w:rPr>
      </w:pPr>
      <w:bookmarkStart w:id="42" w:name="_Toc35500805"/>
      <w:bookmarkStart w:id="43" w:name="_Toc35452579"/>
      <w:r>
        <w:rPr>
          <w:rFonts w:hint="eastAsia" w:cs="Times New Roman" w:asciiTheme="majorEastAsia" w:hAnsiTheme="majorEastAsia" w:eastAsiaTheme="majorEastAsia"/>
          <w:b/>
          <w:bCs/>
          <w:kern w:val="2"/>
          <w:sz w:val="28"/>
          <w:szCs w:val="28"/>
        </w:rPr>
        <w:t>收入费用表</w:t>
      </w:r>
      <w:r>
        <w:rPr>
          <w:rFonts w:cs="Times New Roman" w:asciiTheme="majorEastAsia" w:hAnsiTheme="majorEastAsia" w:eastAsiaTheme="majorEastAsia"/>
          <w:b/>
          <w:bCs/>
          <w:kern w:val="2"/>
          <w:sz w:val="28"/>
          <w:szCs w:val="28"/>
        </w:rPr>
        <w:t>（</w:t>
      </w:r>
      <w:r>
        <w:rPr>
          <w:rFonts w:hint="eastAsia" w:cs="Times New Roman" w:asciiTheme="majorEastAsia" w:hAnsiTheme="majorEastAsia" w:eastAsiaTheme="majorEastAsia"/>
          <w:b/>
          <w:bCs/>
          <w:kern w:val="2"/>
          <w:sz w:val="28"/>
          <w:szCs w:val="28"/>
        </w:rPr>
        <w:t>2</w:t>
      </w:r>
      <w:r>
        <w:rPr>
          <w:rFonts w:cs="Times New Roman" w:asciiTheme="majorEastAsia" w:hAnsiTheme="majorEastAsia" w:eastAsiaTheme="majorEastAsia"/>
          <w:b/>
          <w:bCs/>
          <w:kern w:val="2"/>
          <w:sz w:val="28"/>
          <w:szCs w:val="28"/>
        </w:rPr>
        <w:t>）</w:t>
      </w:r>
      <w:bookmarkEnd w:id="42"/>
      <w:bookmarkEnd w:id="43"/>
    </w:p>
    <w:p>
      <w:pPr>
        <w:tabs>
          <w:tab w:val="left" w:pos="4962"/>
          <w:tab w:val="left" w:pos="7150"/>
        </w:tabs>
        <w:adjustRightInd w:val="0"/>
        <w:snapToGrid w:val="0"/>
        <w:spacing w:line="320" w:lineRule="exact"/>
        <w:ind w:left="-425" w:leftChars="-177"/>
        <w:rPr>
          <w:b/>
          <w:bCs/>
          <w:sz w:val="20"/>
          <w:szCs w:val="20"/>
        </w:rPr>
      </w:pPr>
      <w:r>
        <w:rPr>
          <w:rFonts w:hint="eastAsia"/>
          <w:sz w:val="20"/>
          <w:szCs w:val="20"/>
        </w:rPr>
        <w:t>编制单位：内蒙古自治区巴彦淖尔市临河区司法局</w:t>
      </w:r>
      <w:r>
        <w:rPr>
          <w:b/>
          <w:bCs/>
          <w:sz w:val="20"/>
          <w:szCs w:val="20"/>
        </w:rPr>
        <w:tab/>
      </w:r>
      <w:r>
        <w:rPr>
          <w:rFonts w:hint="eastAsia"/>
          <w:sz w:val="20"/>
          <w:szCs w:val="20"/>
        </w:rPr>
        <w:t>2020  年</w:t>
      </w:r>
      <w:r>
        <w:rPr>
          <w:b/>
          <w:bCs/>
          <w:sz w:val="20"/>
          <w:szCs w:val="20"/>
        </w:rPr>
        <w:tab/>
      </w:r>
      <w:r>
        <w:rPr>
          <w:rFonts w:hint="eastAsia"/>
          <w:sz w:val="20"/>
          <w:szCs w:val="20"/>
        </w:rPr>
        <w:t>单位：万元</w:t>
      </w:r>
    </w:p>
    <w:tbl>
      <w:tblPr>
        <w:tblStyle w:val="35"/>
        <w:tblW w:w="9073" w:type="dxa"/>
        <w:tblInd w:w="-318" w:type="dxa"/>
        <w:tblLayout w:type="fixed"/>
        <w:tblCellMar>
          <w:top w:w="0" w:type="dxa"/>
          <w:left w:w="108" w:type="dxa"/>
          <w:bottom w:w="0" w:type="dxa"/>
          <w:right w:w="108" w:type="dxa"/>
        </w:tblCellMar>
      </w:tblPr>
      <w:tblGrid>
        <w:gridCol w:w="3687"/>
        <w:gridCol w:w="1417"/>
        <w:gridCol w:w="1985"/>
        <w:gridCol w:w="1984"/>
      </w:tblGrid>
      <w:tr>
        <w:tblPrEx>
          <w:tblCellMar>
            <w:top w:w="0" w:type="dxa"/>
            <w:left w:w="108" w:type="dxa"/>
            <w:bottom w:w="0" w:type="dxa"/>
            <w:right w:w="108" w:type="dxa"/>
          </w:tblCellMar>
        </w:tblPrEx>
        <w:trPr>
          <w:trHeight w:val="397" w:hRule="atLeast"/>
          <w:tblHeader/>
        </w:trPr>
        <w:tc>
          <w:tcPr>
            <w:tcW w:w="3687"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项目</w:t>
            </w:r>
          </w:p>
        </w:tc>
        <w:tc>
          <w:tcPr>
            <w:tcW w:w="1417"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附注</w:t>
            </w:r>
          </w:p>
        </w:tc>
        <w:tc>
          <w:tcPr>
            <w:tcW w:w="1985"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本年数</w:t>
            </w:r>
          </w:p>
        </w:tc>
        <w:tc>
          <w:tcPr>
            <w:tcW w:w="1984"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上年数</w:t>
            </w:r>
          </w:p>
        </w:tc>
      </w:tr>
      <w:tr>
        <w:tblPrEx>
          <w:tblCellMar>
            <w:top w:w="0" w:type="dxa"/>
            <w:left w:w="108" w:type="dxa"/>
            <w:bottom w:w="0" w:type="dxa"/>
            <w:right w:w="108" w:type="dxa"/>
          </w:tblCellMar>
        </w:tblPrEx>
        <w:trPr>
          <w:trHeight w:val="20" w:hRule="exact"/>
          <w:tblHeader/>
        </w:trPr>
        <w:tc>
          <w:tcPr>
            <w:tcW w:w="3687" w:type="dxa"/>
            <w:tcBorders>
              <w:top w:val="single" w:color="auto" w:sz="4" w:space="0"/>
            </w:tcBorders>
            <w:shd w:val="clear" w:color="FFFFFF" w:fill="FFFFFF"/>
            <w:vAlign w:val="center"/>
          </w:tcPr>
          <w:p>
            <w:pPr>
              <w:jc w:val="center"/>
              <w:rPr>
                <w:b/>
                <w:bCs/>
                <w:sz w:val="20"/>
                <w:szCs w:val="20"/>
              </w:rPr>
            </w:pPr>
          </w:p>
        </w:tc>
        <w:tc>
          <w:tcPr>
            <w:tcW w:w="1417" w:type="dxa"/>
            <w:tcBorders>
              <w:top w:val="single" w:color="auto" w:sz="4" w:space="0"/>
            </w:tcBorders>
            <w:shd w:val="clear" w:color="FFFFFF" w:fill="FFFFFF"/>
            <w:vAlign w:val="center"/>
          </w:tcPr>
          <w:p>
            <w:pPr>
              <w:jc w:val="center"/>
              <w:rPr>
                <w:b/>
                <w:bCs/>
                <w:sz w:val="20"/>
                <w:szCs w:val="20"/>
              </w:rPr>
            </w:pPr>
          </w:p>
        </w:tc>
        <w:tc>
          <w:tcPr>
            <w:tcW w:w="1985" w:type="dxa"/>
            <w:tcBorders>
              <w:top w:val="single" w:color="auto" w:sz="4" w:space="0"/>
            </w:tcBorders>
            <w:shd w:val="clear" w:color="FFFFFF" w:fill="FFFFFF"/>
            <w:vAlign w:val="center"/>
          </w:tcPr>
          <w:p>
            <w:pPr>
              <w:jc w:val="center"/>
              <w:rPr>
                <w:b/>
                <w:bCs/>
                <w:sz w:val="20"/>
                <w:szCs w:val="20"/>
              </w:rPr>
            </w:pPr>
          </w:p>
        </w:tc>
        <w:tc>
          <w:tcPr>
            <w:tcW w:w="1984" w:type="dxa"/>
            <w:tcBorders>
              <w:top w:val="single" w:color="auto" w:sz="4" w:space="0"/>
            </w:tcBorders>
            <w:shd w:val="clear" w:color="FFFFFF" w:fill="FFFFFF"/>
            <w:vAlign w:val="center"/>
          </w:tcPr>
          <w:p>
            <w:pPr>
              <w:jc w:val="center"/>
              <w:rPr>
                <w:b/>
                <w:bCs/>
                <w:sz w:val="20"/>
                <w:szCs w:val="20"/>
              </w:rPr>
            </w:pP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财政拨款收入</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1,271.04</w:t>
            </w:r>
          </w:p>
        </w:tc>
        <w:tc>
          <w:tcPr>
            <w:tcW w:w="1984" w:type="dxa"/>
            <w:shd w:val="clear" w:color="FFFFFF" w:fill="FFFFFF"/>
            <w:vAlign w:val="center"/>
          </w:tcPr>
          <w:p>
            <w:pPr>
              <w:pageBreakBefore w:val="0"/>
              <w:jc w:val="right"/>
              <w:textAlignment w:val="auto"/>
            </w:pPr>
            <w:r>
              <w:rPr>
                <w:b w:val="0"/>
                <w:i w:val="0"/>
                <w:color w:val="auto"/>
                <w:position w:val="-1"/>
                <w:sz w:val="20"/>
                <w:u w:val="none"/>
              </w:rPr>
              <w:t>1,257.76</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事业收入</w:t>
            </w:r>
          </w:p>
        </w:tc>
        <w:tc>
          <w:tcPr>
            <w:tcW w:w="1417" w:type="dxa"/>
            <w:shd w:val="clear" w:color="FFFFFF" w:fill="FFFFFF"/>
            <w:vAlign w:val="center"/>
          </w:tcPr>
          <w:p>
            <w:pPr>
              <w:pageBreakBefore w:val="0"/>
              <w:jc w:val="center"/>
              <w:textAlignment w:val="auto"/>
            </w:pPr>
            <w:r>
              <w:rPr>
                <w:b w:val="0"/>
                <w:i w:val="0"/>
                <w:color w:val="auto"/>
                <w:position w:val="-1"/>
                <w:sz w:val="20"/>
                <w:u w:val="none"/>
              </w:rPr>
              <w:t xml:space="preserve">  附表17</w:t>
            </w: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上级补助收入</w:t>
            </w:r>
          </w:p>
        </w:tc>
        <w:tc>
          <w:tcPr>
            <w:tcW w:w="1417" w:type="dxa"/>
            <w:shd w:val="clear" w:color="FFFFFF" w:fill="FFFFFF"/>
            <w:vAlign w:val="center"/>
          </w:tcPr>
          <w:p>
            <w:pPr>
              <w:pageBreakBefore w:val="0"/>
              <w:jc w:val="center"/>
              <w:textAlignment w:val="auto"/>
            </w:pPr>
            <w:r>
              <w:rPr>
                <w:b w:val="0"/>
                <w:i w:val="0"/>
                <w:color w:val="auto"/>
                <w:position w:val="-1"/>
                <w:sz w:val="20"/>
                <w:u w:val="none"/>
              </w:rPr>
              <w:t xml:space="preserve">  附表25</w:t>
            </w: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附属单位上缴收入</w:t>
            </w:r>
          </w:p>
        </w:tc>
        <w:tc>
          <w:tcPr>
            <w:tcW w:w="1417" w:type="dxa"/>
            <w:shd w:val="clear" w:color="FFFFFF" w:fill="FFFFFF"/>
            <w:vAlign w:val="center"/>
          </w:tcPr>
          <w:p>
            <w:pPr>
              <w:pageBreakBefore w:val="0"/>
              <w:jc w:val="center"/>
              <w:textAlignment w:val="auto"/>
            </w:pPr>
            <w:r>
              <w:rPr>
                <w:b w:val="0"/>
                <w:i w:val="0"/>
                <w:color w:val="auto"/>
                <w:position w:val="-1"/>
                <w:sz w:val="20"/>
                <w:u w:val="none"/>
              </w:rPr>
              <w:t xml:space="preserve">  附表27</w:t>
            </w: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经营收入</w:t>
            </w:r>
          </w:p>
        </w:tc>
        <w:tc>
          <w:tcPr>
            <w:tcW w:w="1417" w:type="dxa"/>
            <w:shd w:val="clear" w:color="FFFFFF" w:fill="FFFFFF"/>
            <w:vAlign w:val="center"/>
          </w:tcPr>
          <w:p>
            <w:pPr>
              <w:pageBreakBefore w:val="0"/>
              <w:jc w:val="center"/>
              <w:textAlignment w:val="auto"/>
            </w:pPr>
            <w:r>
              <w:rPr>
                <w:b w:val="0"/>
                <w:i w:val="0"/>
                <w:color w:val="auto"/>
                <w:position w:val="-1"/>
                <w:sz w:val="20"/>
                <w:u w:val="none"/>
              </w:rPr>
              <w:t xml:space="preserve">  附表18</w:t>
            </w: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非同级财政拨款收入</w:t>
            </w:r>
          </w:p>
        </w:tc>
        <w:tc>
          <w:tcPr>
            <w:tcW w:w="1417" w:type="dxa"/>
            <w:shd w:val="clear" w:color="FFFFFF" w:fill="FFFFFF"/>
            <w:vAlign w:val="center"/>
          </w:tcPr>
          <w:p>
            <w:pPr>
              <w:pageBreakBefore w:val="0"/>
              <w:jc w:val="center"/>
              <w:textAlignment w:val="auto"/>
            </w:pPr>
            <w:r>
              <w:rPr>
                <w:b w:val="0"/>
                <w:i w:val="0"/>
                <w:color w:val="auto"/>
                <w:position w:val="-1"/>
                <w:sz w:val="20"/>
                <w:u w:val="none"/>
              </w:rPr>
              <w:t xml:space="preserve">  附表19</w:t>
            </w: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投资收益</w:t>
            </w:r>
          </w:p>
        </w:tc>
        <w:tc>
          <w:tcPr>
            <w:tcW w:w="1417" w:type="dxa"/>
            <w:shd w:val="clear" w:color="FFFFFF" w:fill="FFFFFF"/>
            <w:vAlign w:val="center"/>
          </w:tcPr>
          <w:p>
            <w:pPr>
              <w:pageBreakBefore w:val="0"/>
              <w:jc w:val="center"/>
              <w:textAlignment w:val="auto"/>
            </w:pPr>
            <w:r>
              <w:rPr>
                <w:b w:val="0"/>
                <w:i w:val="0"/>
                <w:color w:val="auto"/>
                <w:position w:val="-1"/>
                <w:sz w:val="20"/>
                <w:u w:val="none"/>
              </w:rPr>
              <w:t xml:space="preserve">  附表5</w:t>
            </w: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捐赠收入</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2.63</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利息收入</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0.08</w:t>
            </w:r>
          </w:p>
        </w:tc>
        <w:tc>
          <w:tcPr>
            <w:tcW w:w="1984" w:type="dxa"/>
            <w:shd w:val="clear" w:color="FFFFFF" w:fill="FFFFFF"/>
            <w:vAlign w:val="center"/>
          </w:tcPr>
          <w:p>
            <w:pPr>
              <w:pageBreakBefore w:val="0"/>
              <w:jc w:val="right"/>
              <w:textAlignment w:val="auto"/>
            </w:pPr>
            <w:r>
              <w:rPr>
                <w:b w:val="0"/>
                <w:i w:val="0"/>
                <w:color w:val="auto"/>
                <w:position w:val="-1"/>
                <w:sz w:val="20"/>
                <w:u w:val="none"/>
              </w:rPr>
              <w:t>0.07</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租金收入</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其他收入</w:t>
            </w:r>
          </w:p>
        </w:tc>
        <w:tc>
          <w:tcPr>
            <w:tcW w:w="1417" w:type="dxa"/>
            <w:shd w:val="clear" w:color="FFFFFF" w:fill="FFFFFF"/>
            <w:vAlign w:val="center"/>
          </w:tcPr>
          <w:p>
            <w:pPr>
              <w:pageBreakBefore w:val="0"/>
              <w:jc w:val="center"/>
              <w:textAlignment w:val="auto"/>
            </w:pPr>
            <w:r>
              <w:rPr>
                <w:b w:val="0"/>
                <w:i w:val="0"/>
                <w:color w:val="auto"/>
                <w:position w:val="-1"/>
                <w:sz w:val="20"/>
                <w:u w:val="none"/>
              </w:rPr>
              <w:t xml:space="preserve">  附表20</w:t>
            </w:r>
          </w:p>
        </w:tc>
        <w:tc>
          <w:tcPr>
            <w:tcW w:w="1985" w:type="dxa"/>
            <w:shd w:val="clear" w:color="FFFFFF" w:fill="FFFFFF"/>
            <w:vAlign w:val="center"/>
          </w:tcPr>
          <w:p>
            <w:pPr>
              <w:pageBreakBefore w:val="0"/>
              <w:jc w:val="right"/>
              <w:textAlignment w:val="auto"/>
            </w:pPr>
            <w:r>
              <w:rPr>
                <w:b w:val="0"/>
                <w:i w:val="0"/>
                <w:color w:val="auto"/>
                <w:position w:val="-1"/>
                <w:sz w:val="20"/>
                <w:u w:val="none"/>
              </w:rPr>
              <w:t>0.05</w:t>
            </w:r>
          </w:p>
        </w:tc>
        <w:tc>
          <w:tcPr>
            <w:tcW w:w="1984" w:type="dxa"/>
            <w:shd w:val="clear" w:color="FFFFFF" w:fill="FFFFFF"/>
            <w:vAlign w:val="center"/>
          </w:tcPr>
          <w:p>
            <w:pPr>
              <w:pageBreakBefore w:val="0"/>
              <w:jc w:val="right"/>
              <w:textAlignment w:val="auto"/>
            </w:pPr>
            <w:r>
              <w:rPr>
                <w:b w:val="0"/>
                <w:i w:val="0"/>
                <w:color w:val="auto"/>
                <w:position w:val="-1"/>
                <w:sz w:val="20"/>
                <w:u w:val="none"/>
              </w:rPr>
              <w:t>2.00</w:t>
            </w:r>
          </w:p>
        </w:tc>
      </w:tr>
      <w:tr>
        <w:tblPrEx>
          <w:tblCellMar>
            <w:top w:w="0" w:type="dxa"/>
            <w:left w:w="108" w:type="dxa"/>
            <w:bottom w:w="0" w:type="dxa"/>
            <w:right w:w="108" w:type="dxa"/>
          </w:tblCellMar>
        </w:tblPrEx>
        <w:trPr>
          <w:trHeight w:val="455" w:hRule="atLeast"/>
        </w:trPr>
        <w:tc>
          <w:tcPr>
            <w:tcW w:w="3687" w:type="dxa"/>
            <w:tcBorders>
              <w:bottom w:val="single" w:color="auto" w:sz="4" w:space="0"/>
            </w:tcBorders>
            <w:shd w:val="clear" w:color="FFFFFF" w:fill="FFFFFF"/>
            <w:vAlign w:val="center"/>
          </w:tcPr>
          <w:p>
            <w:pPr>
              <w:pageBreakBefore w:val="0"/>
              <w:jc w:val="left"/>
              <w:textAlignment w:val="auto"/>
            </w:pPr>
            <w:r>
              <w:rPr>
                <w:b/>
                <w:i w:val="0"/>
                <w:color w:val="auto"/>
                <w:position w:val="-1"/>
                <w:sz w:val="20"/>
                <w:u w:val="none"/>
              </w:rPr>
              <w:t>收入合计</w:t>
            </w:r>
          </w:p>
        </w:tc>
        <w:tc>
          <w:tcPr>
            <w:tcW w:w="1417" w:type="dxa"/>
            <w:tcBorders>
              <w:bottom w:val="single" w:color="auto" w:sz="4" w:space="0"/>
            </w:tcBorders>
            <w:shd w:val="clear" w:color="FFFFFF" w:fill="FFFFFF"/>
            <w:vAlign w:val="center"/>
          </w:tcPr>
          <w:p>
            <w:pPr>
              <w:pageBreakBefore w:val="0"/>
              <w:jc w:val="center"/>
              <w:textAlignment w:val="auto"/>
            </w:pPr>
          </w:p>
        </w:tc>
        <w:tc>
          <w:tcPr>
            <w:tcW w:w="1985" w:type="dxa"/>
            <w:tcBorders>
              <w:bottom w:val="single" w:color="auto" w:sz="4" w:space="0"/>
            </w:tcBorders>
            <w:shd w:val="clear" w:color="FFFFFF" w:fill="FFFFFF"/>
            <w:vAlign w:val="center"/>
          </w:tcPr>
          <w:p>
            <w:pPr>
              <w:pageBreakBefore w:val="0"/>
              <w:jc w:val="right"/>
              <w:textAlignment w:val="auto"/>
            </w:pPr>
            <w:r>
              <w:rPr>
                <w:b w:val="0"/>
                <w:i w:val="0"/>
                <w:color w:val="auto"/>
                <w:position w:val="-1"/>
                <w:sz w:val="20"/>
                <w:u w:val="none"/>
              </w:rPr>
              <w:t>1,273.80</w:t>
            </w:r>
          </w:p>
        </w:tc>
        <w:tc>
          <w:tcPr>
            <w:tcW w:w="1984" w:type="dxa"/>
            <w:tcBorders>
              <w:bottom w:val="single" w:color="auto" w:sz="4" w:space="0"/>
            </w:tcBorders>
            <w:shd w:val="clear" w:color="FFFFFF" w:fill="FFFFFF"/>
            <w:vAlign w:val="center"/>
          </w:tcPr>
          <w:p>
            <w:pPr>
              <w:pageBreakBefore w:val="0"/>
              <w:jc w:val="right"/>
              <w:textAlignment w:val="auto"/>
            </w:pPr>
            <w:r>
              <w:rPr>
                <w:b w:val="0"/>
                <w:i w:val="0"/>
                <w:color w:val="auto"/>
                <w:position w:val="-1"/>
                <w:sz w:val="20"/>
                <w:u w:val="none"/>
              </w:rPr>
              <w:t>1,259.83</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工资福利费用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978.78</w:t>
            </w:r>
          </w:p>
        </w:tc>
        <w:tc>
          <w:tcPr>
            <w:tcW w:w="1984" w:type="dxa"/>
            <w:shd w:val="clear" w:color="FFFFFF" w:fill="FFFFFF"/>
            <w:vAlign w:val="center"/>
          </w:tcPr>
          <w:p>
            <w:pPr>
              <w:pageBreakBefore w:val="0"/>
              <w:jc w:val="right"/>
              <w:textAlignment w:val="auto"/>
            </w:pPr>
            <w:r>
              <w:rPr>
                <w:b w:val="0"/>
                <w:i w:val="0"/>
                <w:color w:val="auto"/>
                <w:position w:val="-1"/>
                <w:sz w:val="20"/>
                <w:u w:val="none"/>
              </w:rPr>
              <w:t>927.82</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商品和服务费用</w:t>
            </w:r>
          </w:p>
        </w:tc>
        <w:tc>
          <w:tcPr>
            <w:tcW w:w="1417" w:type="dxa"/>
            <w:shd w:val="clear" w:color="FFFFFF" w:fill="FFFFFF"/>
            <w:vAlign w:val="center"/>
          </w:tcPr>
          <w:p>
            <w:pPr>
              <w:pageBreakBefore w:val="0"/>
              <w:jc w:val="center"/>
              <w:textAlignment w:val="auto"/>
            </w:pPr>
            <w:r>
              <w:rPr>
                <w:b w:val="0"/>
                <w:i w:val="0"/>
                <w:color w:val="auto"/>
                <w:position w:val="-1"/>
                <w:sz w:val="20"/>
                <w:u w:val="none"/>
              </w:rPr>
              <w:t xml:space="preserve">  附表24</w:t>
            </w:r>
          </w:p>
        </w:tc>
        <w:tc>
          <w:tcPr>
            <w:tcW w:w="1985" w:type="dxa"/>
            <w:shd w:val="clear" w:color="FFFFFF" w:fill="FFFFFF"/>
            <w:vAlign w:val="center"/>
          </w:tcPr>
          <w:p>
            <w:pPr>
              <w:pageBreakBefore w:val="0"/>
              <w:jc w:val="right"/>
              <w:textAlignment w:val="auto"/>
            </w:pPr>
            <w:r>
              <w:rPr>
                <w:b w:val="0"/>
                <w:i w:val="0"/>
                <w:color w:val="auto"/>
                <w:position w:val="-1"/>
                <w:sz w:val="20"/>
                <w:u w:val="none"/>
              </w:rPr>
              <w:t>307.55</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对个人和家庭的补助费用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45.39</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对企业补助费用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固定资产折旧费用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74.52</w:t>
            </w:r>
          </w:p>
        </w:tc>
        <w:tc>
          <w:tcPr>
            <w:tcW w:w="1984" w:type="dxa"/>
            <w:shd w:val="clear" w:color="FFFFFF" w:fill="FFFFFF"/>
            <w:vAlign w:val="center"/>
          </w:tcPr>
          <w:p>
            <w:pPr>
              <w:pageBreakBefore w:val="0"/>
              <w:jc w:val="right"/>
              <w:textAlignment w:val="auto"/>
            </w:pPr>
            <w:r>
              <w:rPr>
                <w:b w:val="0"/>
                <w:i w:val="0"/>
                <w:color w:val="auto"/>
                <w:position w:val="-1"/>
                <w:sz w:val="20"/>
                <w:u w:val="none"/>
              </w:rPr>
              <w:t>61.77</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无形资产摊销费用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3.10</w:t>
            </w:r>
          </w:p>
        </w:tc>
        <w:tc>
          <w:tcPr>
            <w:tcW w:w="1984" w:type="dxa"/>
            <w:shd w:val="clear" w:color="FFFFFF" w:fill="FFFFFF"/>
            <w:vAlign w:val="center"/>
          </w:tcPr>
          <w:p>
            <w:pPr>
              <w:pageBreakBefore w:val="0"/>
              <w:jc w:val="right"/>
              <w:textAlignment w:val="auto"/>
            </w:pPr>
            <w:r>
              <w:rPr>
                <w:b w:val="0"/>
                <w:i w:val="0"/>
                <w:color w:val="auto"/>
                <w:position w:val="-1"/>
                <w:sz w:val="20"/>
                <w:u w:val="none"/>
              </w:rPr>
              <w:t>0.54</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公共基础设施折旧（摊销）费用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保障性住房折旧费用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计提专用基金</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资产处置费用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5.68</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上缴上级费用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对附属单位补助费用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所得税费用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0.00</w:t>
            </w:r>
          </w:p>
        </w:tc>
        <w:tc>
          <w:tcPr>
            <w:tcW w:w="1984" w:type="dxa"/>
            <w:shd w:val="clear" w:color="FFFFFF" w:fill="FFFFFF"/>
            <w:vAlign w:val="center"/>
          </w:tcPr>
          <w:p>
            <w:pPr>
              <w:pageBreakBefore w:val="0"/>
              <w:jc w:val="right"/>
              <w:textAlignment w:val="auto"/>
            </w:pPr>
            <w:r>
              <w:rPr>
                <w:b w:val="0"/>
                <w:i w:val="0"/>
                <w:color w:val="auto"/>
                <w:position w:val="-1"/>
                <w:sz w:val="20"/>
                <w:u w:val="none"/>
              </w:rPr>
              <w:t>0.00</w:t>
            </w:r>
          </w:p>
        </w:tc>
      </w:tr>
      <w:tr>
        <w:tblPrEx>
          <w:tblCellMar>
            <w:top w:w="0" w:type="dxa"/>
            <w:left w:w="108" w:type="dxa"/>
            <w:bottom w:w="0" w:type="dxa"/>
            <w:right w:w="108" w:type="dxa"/>
          </w:tblCellMar>
        </w:tblPrEx>
        <w:trPr>
          <w:trHeight w:val="397" w:hRule="atLeast"/>
        </w:trPr>
        <w:tc>
          <w:tcPr>
            <w:tcW w:w="3687" w:type="dxa"/>
            <w:shd w:val="clear" w:color="FFFFFF" w:fill="FFFFFF"/>
            <w:vAlign w:val="center"/>
          </w:tcPr>
          <w:p>
            <w:pPr>
              <w:pageBreakBefore w:val="0"/>
              <w:jc w:val="left"/>
              <w:textAlignment w:val="auto"/>
            </w:pPr>
            <w:r>
              <w:rPr>
                <w:b w:val="0"/>
                <w:i w:val="0"/>
                <w:color w:val="auto"/>
                <w:position w:val="-1"/>
                <w:sz w:val="20"/>
                <w:u w:val="none"/>
              </w:rPr>
              <w:t xml:space="preserve">  其他费用</w:t>
            </w:r>
          </w:p>
        </w:tc>
        <w:tc>
          <w:tcPr>
            <w:tcW w:w="1417" w:type="dxa"/>
            <w:shd w:val="clear" w:color="FFFFFF" w:fill="FFFFFF"/>
            <w:vAlign w:val="center"/>
          </w:tcPr>
          <w:p>
            <w:pPr>
              <w:pageBreakBefore w:val="0"/>
              <w:jc w:val="center"/>
              <w:textAlignment w:val="auto"/>
            </w:pPr>
          </w:p>
        </w:tc>
        <w:tc>
          <w:tcPr>
            <w:tcW w:w="1985" w:type="dxa"/>
            <w:shd w:val="clear" w:color="FFFFFF" w:fill="FFFFFF"/>
            <w:vAlign w:val="center"/>
          </w:tcPr>
          <w:p>
            <w:pPr>
              <w:pageBreakBefore w:val="0"/>
              <w:jc w:val="right"/>
              <w:textAlignment w:val="auto"/>
            </w:pPr>
            <w:r>
              <w:rPr>
                <w:b w:val="0"/>
                <w:i w:val="0"/>
                <w:color w:val="auto"/>
                <w:position w:val="-1"/>
                <w:sz w:val="20"/>
                <w:u w:val="none"/>
              </w:rPr>
              <w:t>4.65</w:t>
            </w:r>
          </w:p>
        </w:tc>
        <w:tc>
          <w:tcPr>
            <w:tcW w:w="1984" w:type="dxa"/>
            <w:shd w:val="clear" w:color="FFFFFF" w:fill="FFFFFF"/>
            <w:vAlign w:val="center"/>
          </w:tcPr>
          <w:p>
            <w:pPr>
              <w:pageBreakBefore w:val="0"/>
              <w:jc w:val="right"/>
              <w:textAlignment w:val="auto"/>
            </w:pPr>
            <w:r>
              <w:rPr>
                <w:b w:val="0"/>
                <w:i w:val="0"/>
                <w:color w:val="auto"/>
                <w:position w:val="-1"/>
                <w:sz w:val="20"/>
                <w:u w:val="none"/>
              </w:rPr>
              <w:t>172.24</w:t>
            </w:r>
          </w:p>
        </w:tc>
      </w:tr>
      <w:tr>
        <w:tblPrEx>
          <w:tblCellMar>
            <w:top w:w="0" w:type="dxa"/>
            <w:left w:w="108" w:type="dxa"/>
            <w:bottom w:w="0" w:type="dxa"/>
            <w:right w:w="108" w:type="dxa"/>
          </w:tblCellMar>
        </w:tblPrEx>
        <w:trPr>
          <w:trHeight w:val="455" w:hRule="atLeast"/>
        </w:trPr>
        <w:tc>
          <w:tcPr>
            <w:tcW w:w="3687" w:type="dxa"/>
            <w:tcBorders>
              <w:bottom w:val="single" w:color="auto" w:sz="4" w:space="0"/>
            </w:tcBorders>
            <w:shd w:val="clear" w:color="FFFFFF" w:fill="FFFFFF"/>
            <w:vAlign w:val="center"/>
          </w:tcPr>
          <w:p>
            <w:pPr>
              <w:pageBreakBefore w:val="0"/>
              <w:jc w:val="left"/>
              <w:textAlignment w:val="auto"/>
            </w:pPr>
            <w:r>
              <w:rPr>
                <w:b/>
                <w:i w:val="0"/>
                <w:color w:val="auto"/>
                <w:position w:val="-1"/>
                <w:sz w:val="20"/>
                <w:u w:val="none"/>
              </w:rPr>
              <w:t>费用合计</w:t>
            </w:r>
          </w:p>
        </w:tc>
        <w:tc>
          <w:tcPr>
            <w:tcW w:w="1417" w:type="dxa"/>
            <w:tcBorders>
              <w:bottom w:val="single" w:color="auto" w:sz="4" w:space="0"/>
            </w:tcBorders>
            <w:shd w:val="clear" w:color="FFFFFF" w:fill="FFFFFF"/>
            <w:vAlign w:val="center"/>
          </w:tcPr>
          <w:p>
            <w:pPr>
              <w:pageBreakBefore w:val="0"/>
              <w:jc w:val="center"/>
              <w:textAlignment w:val="auto"/>
            </w:pPr>
          </w:p>
        </w:tc>
        <w:tc>
          <w:tcPr>
            <w:tcW w:w="1985" w:type="dxa"/>
            <w:tcBorders>
              <w:bottom w:val="single" w:color="auto" w:sz="4" w:space="0"/>
            </w:tcBorders>
            <w:shd w:val="clear" w:color="FFFFFF" w:fill="FFFFFF"/>
            <w:vAlign w:val="center"/>
          </w:tcPr>
          <w:p>
            <w:pPr>
              <w:pageBreakBefore w:val="0"/>
              <w:jc w:val="right"/>
              <w:textAlignment w:val="auto"/>
            </w:pPr>
            <w:r>
              <w:rPr>
                <w:b w:val="0"/>
                <w:i w:val="0"/>
                <w:color w:val="auto"/>
                <w:position w:val="-1"/>
                <w:sz w:val="20"/>
                <w:u w:val="none"/>
              </w:rPr>
              <w:t>1,368.60</w:t>
            </w:r>
          </w:p>
        </w:tc>
        <w:tc>
          <w:tcPr>
            <w:tcW w:w="1984" w:type="dxa"/>
            <w:tcBorders>
              <w:bottom w:val="single" w:color="auto" w:sz="4" w:space="0"/>
            </w:tcBorders>
            <w:shd w:val="clear" w:color="FFFFFF" w:fill="FFFFFF"/>
            <w:vAlign w:val="center"/>
          </w:tcPr>
          <w:p>
            <w:pPr>
              <w:pageBreakBefore w:val="0"/>
              <w:jc w:val="right"/>
              <w:textAlignment w:val="auto"/>
            </w:pPr>
            <w:r>
              <w:rPr>
                <w:b w:val="0"/>
                <w:i w:val="0"/>
                <w:color w:val="auto"/>
                <w:position w:val="-1"/>
                <w:sz w:val="20"/>
                <w:u w:val="none"/>
              </w:rPr>
              <w:t>1,213.44</w:t>
            </w:r>
          </w:p>
        </w:tc>
      </w:tr>
      <w:tr>
        <w:tblPrEx>
          <w:tblCellMar>
            <w:top w:w="0" w:type="dxa"/>
            <w:left w:w="108" w:type="dxa"/>
            <w:bottom w:w="0" w:type="dxa"/>
            <w:right w:w="108" w:type="dxa"/>
          </w:tblCellMar>
        </w:tblPrEx>
        <w:trPr>
          <w:trHeight w:val="455" w:hRule="atLeast"/>
        </w:trPr>
        <w:tc>
          <w:tcPr>
            <w:tcW w:w="3687" w:type="dxa"/>
            <w:tcBorders>
              <w:bottom w:val="single" w:color="auto" w:sz="4" w:space="0"/>
            </w:tcBorders>
            <w:shd w:val="clear" w:color="FFFFFF" w:fill="FFFFFF"/>
            <w:vAlign w:val="center"/>
          </w:tcPr>
          <w:p>
            <w:pPr>
              <w:pageBreakBefore w:val="0"/>
              <w:jc w:val="center"/>
              <w:textAlignment w:val="auto"/>
            </w:pPr>
            <w:r>
              <w:rPr>
                <w:b/>
                <w:i w:val="0"/>
                <w:color w:val="auto"/>
                <w:position w:val="-1"/>
                <w:sz w:val="20"/>
                <w:u w:val="none"/>
              </w:rPr>
              <w:t>本年盈余</w:t>
            </w:r>
          </w:p>
        </w:tc>
        <w:tc>
          <w:tcPr>
            <w:tcW w:w="1417" w:type="dxa"/>
            <w:tcBorders>
              <w:bottom w:val="single" w:color="auto" w:sz="4" w:space="0"/>
            </w:tcBorders>
            <w:shd w:val="clear" w:color="FFFFFF" w:fill="FFFFFF"/>
            <w:vAlign w:val="center"/>
          </w:tcPr>
          <w:p>
            <w:pPr>
              <w:pageBreakBefore w:val="0"/>
              <w:jc w:val="center"/>
              <w:textAlignment w:val="auto"/>
            </w:pPr>
          </w:p>
        </w:tc>
        <w:tc>
          <w:tcPr>
            <w:tcW w:w="1985" w:type="dxa"/>
            <w:tcBorders>
              <w:bottom w:val="single" w:color="auto" w:sz="4" w:space="0"/>
            </w:tcBorders>
            <w:shd w:val="clear" w:color="FFFFFF" w:fill="FFFFFF"/>
            <w:vAlign w:val="center"/>
          </w:tcPr>
          <w:p>
            <w:pPr>
              <w:pageBreakBefore w:val="0"/>
              <w:jc w:val="right"/>
              <w:textAlignment w:val="auto"/>
            </w:pPr>
            <w:r>
              <w:rPr>
                <w:b w:val="0"/>
                <w:i w:val="0"/>
                <w:color w:val="auto"/>
                <w:position w:val="-1"/>
                <w:sz w:val="20"/>
                <w:u w:val="none"/>
              </w:rPr>
              <w:t>-94.80</w:t>
            </w:r>
          </w:p>
        </w:tc>
        <w:tc>
          <w:tcPr>
            <w:tcW w:w="1984" w:type="dxa"/>
            <w:tcBorders>
              <w:bottom w:val="single" w:color="auto" w:sz="4" w:space="0"/>
            </w:tcBorders>
            <w:shd w:val="clear" w:color="FFFFFF" w:fill="FFFFFF"/>
            <w:vAlign w:val="center"/>
          </w:tcPr>
          <w:p>
            <w:pPr>
              <w:pageBreakBefore w:val="0"/>
              <w:jc w:val="right"/>
              <w:textAlignment w:val="auto"/>
            </w:pPr>
            <w:r>
              <w:rPr>
                <w:b w:val="0"/>
                <w:i w:val="0"/>
                <w:color w:val="auto"/>
                <w:position w:val="-1"/>
                <w:sz w:val="20"/>
                <w:u w:val="none"/>
              </w:rPr>
              <w:t>46.39</w:t>
            </w:r>
          </w:p>
        </w:tc>
      </w:tr>
    </w:tbl>
    <w:p>
      <w:pPr>
        <w:rPr>
          <w:sz w:val="22"/>
          <w:szCs w:val="22"/>
        </w:rPr>
      </w:pPr>
    </w:p>
    <w:p>
      <w:pPr>
        <w:rPr>
          <w:position w:val="9"/>
          <w:sz w:val="9"/>
          <w:szCs w:val="9"/>
        </w:rPr>
      </w:pPr>
    </w:p>
    <w:p>
      <w:pPr>
        <w:rPr>
          <w:position w:val="9"/>
          <w:sz w:val="9"/>
          <w:szCs w:val="9"/>
        </w:rPr>
      </w:pPr>
    </w:p>
    <w:p/>
    <w:p/>
    <w:p/>
    <w:p/>
    <w:p/>
    <w:p/>
    <w:p/>
    <w:p/>
    <w:p>
      <w:pPr>
        <w:spacing w:before="57" w:line="331" w:lineRule="auto"/>
        <w:ind w:left="217" w:right="371" w:hanging="1"/>
        <w:rPr>
          <w:sz w:val="18"/>
          <w:szCs w:val="18"/>
        </w:rPr>
      </w:pPr>
    </w:p>
    <w:p>
      <w:pPr>
        <w:spacing w:before="57" w:line="331" w:lineRule="auto"/>
        <w:ind w:left="217" w:right="371" w:hanging="1"/>
        <w:rPr>
          <w:sz w:val="18"/>
          <w:szCs w:val="18"/>
        </w:rPr>
      </w:pPr>
    </w:p>
    <w:p>
      <w:pPr>
        <w:spacing w:before="57" w:line="331" w:lineRule="auto"/>
        <w:ind w:left="217" w:right="371" w:hanging="1"/>
        <w:rPr>
          <w:sz w:val="18"/>
          <w:szCs w:val="18"/>
        </w:rPr>
      </w:pPr>
    </w:p>
    <w:p>
      <w:pPr>
        <w:spacing w:before="57" w:line="331" w:lineRule="auto"/>
        <w:ind w:left="217" w:right="371" w:hanging="1"/>
        <w:rPr>
          <w:sz w:val="18"/>
          <w:szCs w:val="18"/>
        </w:rPr>
      </w:pPr>
    </w:p>
    <w:p>
      <w:pPr>
        <w:spacing w:before="57" w:line="331" w:lineRule="auto"/>
        <w:ind w:left="217" w:right="371" w:hanging="1"/>
        <w:rPr>
          <w:sz w:val="18"/>
          <w:szCs w:val="18"/>
        </w:rPr>
      </w:pPr>
    </w:p>
    <w:p>
      <w:pPr>
        <w:pStyle w:val="4"/>
        <w:spacing w:before="0" w:after="0" w:line="360" w:lineRule="auto"/>
        <w:ind w:firstLine="602" w:firstLineChars="200"/>
        <w:jc w:val="left"/>
        <w:rPr>
          <w:rFonts w:asciiTheme="minorEastAsia" w:hAnsiTheme="minorEastAsia" w:eastAsiaTheme="minorEastAsia"/>
        </w:rPr>
      </w:pPr>
      <w:bookmarkStart w:id="44" w:name="_Toc35500806"/>
      <w:bookmarkStart w:id="45" w:name="_Toc35452580"/>
      <w:bookmarkStart w:id="46" w:name="_Toc333610272"/>
      <w:r>
        <w:rPr>
          <w:rFonts w:asciiTheme="minorEastAsia" w:hAnsiTheme="minorEastAsia" w:eastAsiaTheme="minorEastAsia"/>
        </w:rPr>
        <w:t>（二）政府部门会计报表附注</w:t>
      </w:r>
      <w:bookmarkEnd w:id="44"/>
      <w:bookmarkEnd w:id="45"/>
    </w:p>
    <w:p>
      <w:pPr>
        <w:pStyle w:val="5"/>
        <w:spacing w:before="0" w:after="0" w:line="360" w:lineRule="auto"/>
        <w:ind w:firstLine="602"/>
        <w:jc w:val="left"/>
        <w:rPr>
          <w:rFonts w:ascii="仿宋" w:hAnsi="仿宋" w:eastAsia="仿宋"/>
          <w:b/>
        </w:rPr>
      </w:pPr>
      <w:bookmarkStart w:id="47" w:name="1.会计报表编制基础。（略）"/>
      <w:bookmarkEnd w:id="47"/>
      <w:bookmarkStart w:id="48" w:name="2.遵循相关制度规定的声明。（略）"/>
      <w:bookmarkEnd w:id="48"/>
      <w:bookmarkStart w:id="49" w:name="_Toc35500807"/>
      <w:bookmarkStart w:id="50" w:name="_Toc35452581"/>
      <w:bookmarkStart w:id="51" w:name="_Toc35452582"/>
      <w:r>
        <w:rPr>
          <w:rFonts w:ascii="仿宋" w:hAnsi="仿宋" w:eastAsia="仿宋"/>
          <w:b/>
        </w:rPr>
        <w:t>1.会计报表编制基础。</w:t>
      </w:r>
      <w:bookmarkEnd w:id="49"/>
      <w:bookmarkEnd w:id="50"/>
    </w:p>
    <w:p>
      <w:pPr>
        <w:pStyle w:val="111"/>
        <w:ind w:firstLine="602"/>
        <w:jc w:val="both"/>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本部门</w:t>
      </w:r>
      <w:r>
        <w:rPr>
          <w:rFonts w:hint="eastAsia" w:ascii="仿宋" w:hAnsi="仿宋" w:eastAsia="仿宋" w:cs="Times New Roman"/>
          <w:b/>
          <w:bCs/>
          <w:kern w:val="2"/>
          <w:sz w:val="30"/>
          <w:szCs w:val="32"/>
          <w:lang w:val="en-US" w:eastAsia="zh-CN" w:bidi="ar-SA"/>
        </w:rPr>
        <w:t>计报表以权责发生制为基础编制。</w:t>
      </w:r>
    </w:p>
    <w:p>
      <w:pPr>
        <w:spacing w:before="2"/>
        <w:rPr>
          <w:rFonts w:ascii="仿宋" w:hAnsi="仿宋" w:eastAsia="仿宋" w:cs="Times New Roman"/>
          <w:b/>
          <w:bCs/>
          <w:kern w:val="2"/>
          <w:sz w:val="30"/>
          <w:szCs w:val="32"/>
          <w:lang w:val="en-US" w:eastAsia="zh-CN" w:bidi="ar-SA"/>
        </w:rPr>
      </w:pPr>
    </w:p>
    <w:p>
      <w:pPr>
        <w:pStyle w:val="5"/>
        <w:spacing w:before="0" w:after="0" w:line="360" w:lineRule="auto"/>
        <w:ind w:firstLine="602"/>
        <w:jc w:val="left"/>
        <w:rPr>
          <w:rFonts w:ascii="仿宋" w:hAnsi="仿宋" w:eastAsia="仿宋"/>
          <w:b/>
        </w:rPr>
      </w:pPr>
      <w:bookmarkStart w:id="52" w:name="_Toc35500808"/>
      <w:r>
        <w:rPr>
          <w:rFonts w:ascii="仿宋" w:hAnsi="仿宋" w:eastAsia="仿宋"/>
          <w:b/>
        </w:rPr>
        <w:t>2.遵循相关制度规定的声明。</w:t>
      </w:r>
      <w:bookmarkEnd w:id="51"/>
      <w:bookmarkEnd w:id="52"/>
    </w:p>
    <w:p>
      <w:pPr>
        <w:pStyle w:val="111"/>
        <w:spacing w:line="360" w:lineRule="auto"/>
        <w:ind w:firstLine="600"/>
        <w:jc w:val="both"/>
        <w:rPr>
          <w:rFonts w:ascii="仿宋_GB2312" w:hAnsi="仿宋_GB2312" w:cs="仿宋_GB2312"/>
          <w:color w:val="0070C0"/>
          <w:szCs w:val="30"/>
        </w:rPr>
      </w:pPr>
      <w:r>
        <w:rPr>
          <w:rFonts w:hint="eastAsia" w:ascii="仿宋" w:hAnsi="仿宋" w:eastAsia="仿宋" w:cs="Times New Roman"/>
          <w:b/>
          <w:bCs/>
          <w:kern w:val="2"/>
          <w:sz w:val="30"/>
          <w:szCs w:val="32"/>
          <w:lang w:val="en-US" w:eastAsia="zh-CN" w:bidi="ar-SA"/>
        </w:rPr>
        <w:t>本部门</w:t>
      </w:r>
      <w:r>
        <w:rPr>
          <w:rFonts w:hint="eastAsia" w:ascii="仿宋" w:hAnsi="仿宋" w:eastAsia="仿宋" w:cs="Times New Roman"/>
          <w:b/>
          <w:bCs/>
          <w:kern w:val="2"/>
          <w:sz w:val="30"/>
          <w:szCs w:val="32"/>
          <w:lang w:val="en-US" w:eastAsia="zh-CN" w:bidi="ar-SA"/>
        </w:rPr>
        <w:t>声明编制的会计报表符合政府会计准则、相关会计制度和财务报告编制规定的要求，如实反映政府部门的财务状况、运行情况等有关信息。</w:t>
      </w:r>
    </w:p>
    <w:p>
      <w:pPr>
        <w:pStyle w:val="5"/>
        <w:numPr>
          <w:ilvl w:val="0"/>
          <w:numId w:val="1"/>
        </w:numPr>
        <w:spacing w:before="0" w:after="0" w:line="360" w:lineRule="auto"/>
        <w:ind w:firstLine="602"/>
        <w:jc w:val="left"/>
        <w:rPr>
          <w:rFonts w:ascii="仿宋" w:hAnsi="仿宋" w:eastAsia="仿宋"/>
          <w:b/>
        </w:rPr>
      </w:pPr>
      <w:bookmarkStart w:id="53" w:name="3.合并范围。（略）"/>
      <w:bookmarkEnd w:id="53"/>
      <w:bookmarkStart w:id="54" w:name="_Toc35452583"/>
      <w:bookmarkStart w:id="55" w:name="_Toc35500809"/>
      <w:r>
        <w:rPr>
          <w:rFonts w:ascii="仿宋" w:hAnsi="仿宋" w:eastAsia="仿宋"/>
          <w:b/>
        </w:rPr>
        <w:t>合并范围。</w:t>
      </w:r>
      <w:bookmarkEnd w:id="54"/>
      <w:bookmarkEnd w:id="55"/>
    </w:p>
    <w:tbl>
      <w:tblPr>
        <w:tblStyle w:val="35"/>
        <w:tblW w:w="8622" w:type="dxa"/>
        <w:jc w:val="center"/>
        <w:tblLayout w:type="fixed"/>
        <w:tblCellMar>
          <w:top w:w="0" w:type="dxa"/>
          <w:left w:w="0" w:type="dxa"/>
          <w:bottom w:w="0" w:type="dxa"/>
          <w:right w:w="0" w:type="dxa"/>
        </w:tblCellMar>
      </w:tblPr>
      <w:tblGrid>
        <w:gridCol w:w="1031"/>
        <w:gridCol w:w="3910"/>
        <w:gridCol w:w="2230"/>
        <w:gridCol w:w="1451"/>
      </w:tblGrid>
      <w:tr>
        <w:tblPrEx>
          <w:tblCellMar>
            <w:top w:w="0" w:type="dxa"/>
            <w:left w:w="0" w:type="dxa"/>
            <w:bottom w:w="0" w:type="dxa"/>
            <w:right w:w="0" w:type="dxa"/>
          </w:tblCellMar>
        </w:tblPrEx>
        <w:trPr>
          <w:trHeight w:val="23" w:hRule="atLeast"/>
          <w:jc w:val="center"/>
        </w:trPr>
        <w:tc>
          <w:tcPr>
            <w:tcW w:w="8622" w:type="dxa"/>
            <w:gridSpan w:val="4"/>
            <w:tcBorders>
              <w:top w:val="nil"/>
              <w:left w:val="nil"/>
              <w:bottom w:val="single" w:color="auto" w:sz="4" w:space="0"/>
              <w:right w:val="nil"/>
            </w:tcBorders>
            <w:shd w:val="clear" w:color="FFFFFF" w:fill="FFFFFF"/>
          </w:tcPr>
          <w:p>
            <w:pPr>
              <w:pStyle w:val="145"/>
              <w:spacing w:line="260" w:lineRule="exact"/>
              <w:jc w:val="center"/>
              <w:rPr>
                <w:rFonts w:ascii="宋体" w:hAnsi="宋体" w:eastAsia="宋体" w:cs="宋体"/>
                <w:b/>
                <w:bCs/>
                <w:sz w:val="20"/>
                <w:szCs w:val="20"/>
              </w:rPr>
            </w:pPr>
            <w:r>
              <w:rPr>
                <w:rFonts w:ascii="宋体" w:hAnsi="宋体" w:eastAsia="宋体" w:cs="宋体"/>
                <w:b/>
                <w:bCs/>
                <w:sz w:val="20"/>
                <w:szCs w:val="20"/>
              </w:rPr>
              <w:t>××年度部门清单</w:t>
            </w:r>
          </w:p>
        </w:tc>
      </w:tr>
      <w:tr>
        <w:tblPrEx>
          <w:tblCellMar>
            <w:top w:w="0" w:type="dxa"/>
            <w:left w:w="0" w:type="dxa"/>
            <w:bottom w:w="0" w:type="dxa"/>
            <w:right w:w="0" w:type="dxa"/>
          </w:tblCellMar>
        </w:tblPrEx>
        <w:trPr>
          <w:trHeight w:val="23" w:hRule="atLeast"/>
          <w:jc w:val="center"/>
        </w:trPr>
        <w:tc>
          <w:tcPr>
            <w:tcW w:w="1031" w:type="dxa"/>
            <w:tcBorders>
              <w:top w:val="single" w:color="auto" w:sz="4" w:space="0"/>
              <w:left w:val="nil"/>
              <w:bottom w:val="single" w:color="auto" w:sz="4" w:space="0"/>
              <w:right w:val="nil"/>
            </w:tcBorders>
            <w:shd w:val="clear" w:color="FFFFFF" w:fill="FFFFFF"/>
          </w:tcPr>
          <w:p>
            <w:pPr>
              <w:pStyle w:val="145"/>
              <w:spacing w:before="40"/>
              <w:jc w:val="center"/>
              <w:rPr>
                <w:rFonts w:ascii="宋体" w:hAnsi="宋体" w:eastAsia="宋体" w:cs="宋体"/>
                <w:sz w:val="20"/>
                <w:szCs w:val="20"/>
              </w:rPr>
            </w:pPr>
            <w:r>
              <w:rPr>
                <w:rFonts w:ascii="宋体" w:hAnsi="宋体" w:eastAsia="宋体" w:cs="宋体"/>
                <w:b/>
                <w:bCs/>
                <w:sz w:val="20"/>
                <w:szCs w:val="20"/>
              </w:rPr>
              <w:t>序号</w:t>
            </w:r>
          </w:p>
        </w:tc>
        <w:tc>
          <w:tcPr>
            <w:tcW w:w="3910" w:type="dxa"/>
            <w:tcBorders>
              <w:top w:val="single" w:color="auto" w:sz="4" w:space="0"/>
              <w:left w:val="nil"/>
              <w:bottom w:val="single" w:color="auto" w:sz="4" w:space="0"/>
              <w:right w:val="nil"/>
            </w:tcBorders>
            <w:shd w:val="clear" w:color="FFFFFF" w:fill="FFFFFF"/>
          </w:tcPr>
          <w:p>
            <w:pPr>
              <w:pStyle w:val="145"/>
              <w:spacing w:before="40"/>
              <w:jc w:val="center"/>
              <w:rPr>
                <w:rFonts w:ascii="宋体" w:hAnsi="宋体" w:eastAsia="宋体" w:cs="宋体"/>
                <w:sz w:val="20"/>
                <w:szCs w:val="20"/>
              </w:rPr>
            </w:pPr>
            <w:r>
              <w:rPr>
                <w:rFonts w:hint="eastAsia" w:ascii="宋体" w:hAnsi="宋体" w:eastAsia="宋体" w:cs="宋体"/>
                <w:b/>
                <w:bCs/>
                <w:sz w:val="20"/>
                <w:szCs w:val="20"/>
              </w:rPr>
              <w:t>单位名称</w:t>
            </w:r>
          </w:p>
        </w:tc>
        <w:tc>
          <w:tcPr>
            <w:tcW w:w="2230" w:type="dxa"/>
            <w:tcBorders>
              <w:top w:val="single" w:color="auto" w:sz="4" w:space="0"/>
              <w:left w:val="nil"/>
              <w:bottom w:val="single" w:color="auto" w:sz="4" w:space="0"/>
              <w:right w:val="nil"/>
            </w:tcBorders>
            <w:shd w:val="clear" w:color="FFFFFF" w:fill="FFFFFF"/>
          </w:tcPr>
          <w:p>
            <w:pPr>
              <w:pStyle w:val="145"/>
              <w:spacing w:before="40"/>
              <w:jc w:val="center"/>
              <w:rPr>
                <w:rFonts w:hint="default" w:ascii="宋体" w:hAnsi="宋体" w:eastAsia="宋体" w:cs="宋体"/>
                <w:b/>
                <w:bCs/>
                <w:sz w:val="20"/>
                <w:szCs w:val="20"/>
                <w:lang w:val="en-US" w:eastAsia="zh-CN"/>
              </w:rPr>
            </w:pPr>
            <w:r>
              <w:rPr>
                <w:rFonts w:hint="eastAsia" w:ascii="宋体" w:hAnsi="宋体" w:eastAsia="宋体" w:cs="宋体"/>
                <w:b/>
                <w:bCs/>
                <w:sz w:val="20"/>
                <w:szCs w:val="20"/>
                <w:lang w:val="en-US" w:eastAsia="zh-CN"/>
              </w:rPr>
              <w:t>单位性质</w:t>
            </w:r>
          </w:p>
        </w:tc>
        <w:tc>
          <w:tcPr>
            <w:tcW w:w="1451" w:type="dxa"/>
            <w:tcBorders>
              <w:top w:val="single" w:color="auto" w:sz="4" w:space="0"/>
              <w:left w:val="nil"/>
              <w:bottom w:val="single" w:color="auto" w:sz="4" w:space="0"/>
              <w:right w:val="nil"/>
            </w:tcBorders>
            <w:shd w:val="clear" w:color="FFFFFF" w:fill="FFFFFF"/>
          </w:tcPr>
          <w:p>
            <w:pPr>
              <w:pStyle w:val="145"/>
              <w:spacing w:before="40"/>
              <w:jc w:val="center"/>
              <w:rPr>
                <w:rFonts w:ascii="宋体" w:hAnsi="宋体" w:eastAsia="宋体" w:cs="宋体"/>
                <w:sz w:val="20"/>
                <w:szCs w:val="20"/>
              </w:rPr>
            </w:pPr>
            <w:r>
              <w:rPr>
                <w:rFonts w:hint="eastAsia" w:ascii="宋体" w:hAnsi="宋体" w:eastAsia="宋体" w:cs="宋体"/>
                <w:b/>
                <w:bCs/>
                <w:sz w:val="20"/>
                <w:szCs w:val="20"/>
              </w:rPr>
              <w:t>实有人数</w:t>
            </w:r>
          </w:p>
        </w:tc>
      </w:tr>
      <w:tr>
        <w:tblPrEx>
          <w:tblCellMar>
            <w:top w:w="0" w:type="dxa"/>
            <w:left w:w="0" w:type="dxa"/>
            <w:bottom w:w="0" w:type="dxa"/>
            <w:right w:w="0" w:type="dxa"/>
          </w:tblCellMar>
        </w:tblPrEx>
        <w:trPr>
          <w:trHeight w:val="23" w:hRule="exact"/>
          <w:jc w:val="center"/>
        </w:trPr>
        <w:tc>
          <w:tcPr>
            <w:tcW w:w="1031" w:type="dxa"/>
            <w:tcBorders>
              <w:top w:val="single" w:color="auto" w:sz="4" w:space="0"/>
              <w:left w:val="nil"/>
              <w:bottom w:val="nil"/>
              <w:right w:val="nil"/>
            </w:tcBorders>
            <w:shd w:val="clear" w:color="FFFFFF" w:fill="FFFFFF"/>
          </w:tcPr>
          <w:p>
            <w:pPr>
              <w:pStyle w:val="145"/>
              <w:spacing w:before="40"/>
              <w:ind w:left="460"/>
              <w:rPr>
                <w:rFonts w:ascii="宋体" w:hAnsi="宋体" w:eastAsia="宋体" w:cs="宋体"/>
                <w:b/>
                <w:bCs/>
                <w:sz w:val="20"/>
                <w:szCs w:val="20"/>
              </w:rPr>
            </w:pPr>
          </w:p>
        </w:tc>
        <w:tc>
          <w:tcPr>
            <w:tcW w:w="3910" w:type="dxa"/>
            <w:tcBorders>
              <w:top w:val="single" w:color="auto" w:sz="4" w:space="0"/>
              <w:left w:val="nil"/>
              <w:bottom w:val="nil"/>
              <w:right w:val="single" w:color="auto" w:sz="4" w:space="0"/>
            </w:tcBorders>
            <w:shd w:val="clear" w:color="FFFFFF" w:fill="FFFFFF"/>
          </w:tcPr>
          <w:p>
            <w:pPr>
              <w:pStyle w:val="145"/>
              <w:spacing w:before="40"/>
              <w:ind w:left="759"/>
              <w:rPr>
                <w:rFonts w:ascii="宋体" w:hAnsi="宋体" w:eastAsia="宋体" w:cs="宋体"/>
                <w:b/>
                <w:bCs/>
                <w:sz w:val="20"/>
                <w:szCs w:val="20"/>
              </w:rPr>
            </w:pPr>
          </w:p>
        </w:tc>
        <w:tc>
          <w:tcPr>
            <w:tcW w:w="2230" w:type="dxa"/>
            <w:tcBorders>
              <w:top w:val="single" w:color="auto" w:sz="4" w:space="0"/>
              <w:left w:val="single" w:color="auto" w:sz="4" w:space="0"/>
              <w:bottom w:val="nil"/>
              <w:right w:val="nil"/>
            </w:tcBorders>
            <w:shd w:val="clear" w:color="FFFFFF" w:fill="FFFFFF"/>
          </w:tcPr>
          <w:p>
            <w:pPr>
              <w:pStyle w:val="145"/>
              <w:spacing w:before="40"/>
              <w:ind w:left="759"/>
              <w:rPr>
                <w:rFonts w:ascii="宋体" w:hAnsi="宋体" w:eastAsia="宋体" w:cs="宋体"/>
                <w:b/>
                <w:bCs/>
                <w:sz w:val="20"/>
                <w:szCs w:val="20"/>
              </w:rPr>
            </w:pPr>
          </w:p>
        </w:tc>
        <w:tc>
          <w:tcPr>
            <w:tcW w:w="1451" w:type="dxa"/>
            <w:tcBorders>
              <w:top w:val="single" w:color="auto" w:sz="4" w:space="0"/>
              <w:left w:val="nil"/>
              <w:bottom w:val="nil"/>
              <w:right w:val="nil"/>
            </w:tcBorders>
            <w:shd w:val="clear" w:color="FFFFFF" w:fill="FFFFFF"/>
          </w:tcPr>
          <w:p>
            <w:pPr>
              <w:pStyle w:val="145"/>
              <w:spacing w:before="40"/>
              <w:ind w:left="601"/>
              <w:rPr>
                <w:rFonts w:ascii="宋体" w:hAnsi="宋体" w:eastAsia="宋体" w:cs="宋体"/>
                <w:b/>
                <w:bCs/>
                <w:sz w:val="20"/>
                <w:szCs w:val="20"/>
              </w:rPr>
            </w:pPr>
          </w:p>
        </w:tc>
      </w:tr>
      <w:tr>
        <w:tblPrEx>
          <w:tblCellMar>
            <w:top w:w="0" w:type="dxa"/>
            <w:left w:w="0" w:type="dxa"/>
            <w:bottom w:w="0" w:type="dxa"/>
            <w:right w:w="0" w:type="dxa"/>
          </w:tblCellMar>
        </w:tblPrEx>
        <w:trPr>
          <w:trHeight w:val="23" w:hRule="atLeast"/>
          <w:jc w:val="center"/>
        </w:trPr>
        <w:tc>
          <w:tcPr>
            <w:tcW w:w="1031" w:type="dxa"/>
            <w:tcBorders>
              <w:top w:val="nil"/>
              <w:left w:val="nil"/>
              <w:bottom w:val="nil"/>
              <w:right w:val="nil"/>
            </w:tcBorders>
            <w:shd w:val="clear" w:color="FFFFFF" w:fill="FFFFFF"/>
          </w:tcPr>
          <w:p>
            <w:pPr>
              <w:pageBreakBefore w:val="0"/>
              <w:spacing w:before="40"/>
              <w:jc w:val="center"/>
              <w:textAlignment w:val="auto"/>
            </w:pPr>
            <w:r>
              <w:rPr>
                <w:rFonts w:ascii="Times New Roman" w:hAnsi="Times New Roman" w:eastAsia="Times New Roman" w:cs="Times New Roman"/>
                <w:b w:val="0"/>
                <w:i w:val="0"/>
                <w:color w:val="auto"/>
                <w:position w:val="-1"/>
                <w:sz w:val="20"/>
                <w:u w:val="none"/>
              </w:rPr>
              <w:t>1</w:t>
            </w:r>
          </w:p>
        </w:tc>
        <w:tc>
          <w:tcPr>
            <w:tcW w:w="3910" w:type="dxa"/>
            <w:tcBorders>
              <w:top w:val="nil"/>
              <w:left w:val="nil"/>
              <w:bottom w:val="nil"/>
              <w:right w:val="nil"/>
            </w:tcBorders>
            <w:shd w:val="clear" w:color="FFFFFF" w:fill="FFFFFF"/>
          </w:tcPr>
          <w:p>
            <w:pPr>
              <w:pageBreakBefore w:val="0"/>
              <w:spacing w:before="40"/>
              <w:jc w:val="center"/>
              <w:textAlignment w:val="auto"/>
            </w:pPr>
            <w:r>
              <w:rPr>
                <w:rFonts w:ascii="Times New Roman" w:hAnsi="Times New Roman" w:eastAsia="Times New Roman" w:cs="Times New Roman"/>
                <w:b w:val="0"/>
                <w:i w:val="0"/>
                <w:color w:val="auto"/>
                <w:position w:val="-1"/>
                <w:sz w:val="20"/>
                <w:u w:val="none"/>
              </w:rPr>
              <w:t>内蒙古自治区巴彦淖尔市临河区司法局</w:t>
            </w:r>
          </w:p>
        </w:tc>
        <w:tc>
          <w:tcPr>
            <w:tcW w:w="2230" w:type="dxa"/>
            <w:tcBorders>
              <w:top w:val="nil"/>
              <w:left w:val="nil"/>
              <w:bottom w:val="nil"/>
              <w:right w:val="nil"/>
            </w:tcBorders>
            <w:shd w:val="clear" w:color="FFFFFF" w:fill="FFFFFF"/>
          </w:tcPr>
          <w:p>
            <w:pPr>
              <w:pageBreakBefore w:val="0"/>
              <w:spacing w:before="40"/>
              <w:jc w:val="center"/>
              <w:textAlignment w:val="auto"/>
            </w:pPr>
            <w:r>
              <w:rPr>
                <w:rFonts w:ascii="Times New Roman" w:hAnsi="Times New Roman" w:eastAsia="Times New Roman" w:cs="Times New Roman"/>
                <w:b w:val="0"/>
                <w:i w:val="0"/>
                <w:color w:val="auto"/>
                <w:position w:val="-1"/>
                <w:sz w:val="20"/>
                <w:u w:val="none"/>
              </w:rPr>
              <w:t>行政单位</w:t>
            </w:r>
          </w:p>
        </w:tc>
        <w:tc>
          <w:tcPr>
            <w:tcW w:w="1451" w:type="dxa"/>
            <w:tcBorders>
              <w:top w:val="nil"/>
              <w:left w:val="nil"/>
              <w:bottom w:val="nil"/>
              <w:right w:val="nil"/>
            </w:tcBorders>
            <w:shd w:val="clear" w:color="FFFFFF" w:fill="FFFFFF"/>
          </w:tcPr>
          <w:p>
            <w:pPr>
              <w:pageBreakBefore w:val="0"/>
              <w:spacing w:before="40"/>
              <w:jc w:val="center"/>
              <w:textAlignment w:val="auto"/>
            </w:pPr>
            <w:r>
              <w:rPr>
                <w:rFonts w:ascii="Times New Roman" w:hAnsi="Times New Roman" w:eastAsia="Times New Roman" w:cs="Times New Roman"/>
                <w:b w:val="0"/>
                <w:i w:val="0"/>
                <w:color w:val="auto"/>
                <w:position w:val="-1"/>
                <w:sz w:val="20"/>
                <w:u w:val="none"/>
              </w:rPr>
              <w:t>77</w:t>
            </w:r>
          </w:p>
        </w:tc>
      </w:tr>
      <w:tr>
        <w:tblPrEx>
          <w:tblCellMar>
            <w:top w:w="0" w:type="dxa"/>
            <w:left w:w="0" w:type="dxa"/>
            <w:bottom w:w="0" w:type="dxa"/>
            <w:right w:w="0" w:type="dxa"/>
          </w:tblCellMar>
        </w:tblPrEx>
        <w:trPr>
          <w:trHeight w:val="23" w:hRule="atLeast"/>
          <w:jc w:val="center"/>
        </w:trPr>
        <w:tc>
          <w:tcPr>
            <w:tcW w:w="1031" w:type="dxa"/>
            <w:tcBorders>
              <w:top w:val="nil"/>
              <w:left w:val="nil"/>
              <w:bottom w:val="nil"/>
              <w:right w:val="nil"/>
            </w:tcBorders>
            <w:shd w:val="clear" w:color="FFFFFF" w:fill="FFFFFF"/>
          </w:tcPr>
          <w:p>
            <w:pPr>
              <w:pageBreakBefore w:val="0"/>
              <w:spacing w:before="40"/>
              <w:jc w:val="center"/>
              <w:textAlignment w:val="auto"/>
            </w:pPr>
            <w:r>
              <w:rPr>
                <w:rFonts w:ascii="Times New Roman" w:hAnsi="Times New Roman" w:eastAsia="Times New Roman" w:cs="Times New Roman"/>
                <w:b w:val="0"/>
                <w:i w:val="0"/>
                <w:color w:val="auto"/>
                <w:position w:val="-1"/>
                <w:sz w:val="20"/>
                <w:u w:val="none"/>
              </w:rPr>
              <w:t>合计</w:t>
            </w:r>
          </w:p>
        </w:tc>
        <w:tc>
          <w:tcPr>
            <w:tcW w:w="3910" w:type="dxa"/>
            <w:tcBorders>
              <w:top w:val="nil"/>
              <w:left w:val="nil"/>
              <w:bottom w:val="nil"/>
              <w:right w:val="nil"/>
            </w:tcBorders>
            <w:shd w:val="clear" w:color="FFFFFF" w:fill="FFFFFF"/>
          </w:tcPr>
          <w:p>
            <w:pPr>
              <w:pageBreakBefore w:val="0"/>
              <w:spacing w:before="40"/>
              <w:jc w:val="center"/>
              <w:textAlignment w:val="auto"/>
            </w:pPr>
          </w:p>
        </w:tc>
        <w:tc>
          <w:tcPr>
            <w:tcW w:w="2230" w:type="dxa"/>
            <w:tcBorders>
              <w:top w:val="nil"/>
              <w:left w:val="nil"/>
              <w:bottom w:val="nil"/>
              <w:right w:val="nil"/>
            </w:tcBorders>
            <w:shd w:val="clear" w:color="FFFFFF" w:fill="FFFFFF"/>
          </w:tcPr>
          <w:p>
            <w:pPr>
              <w:pageBreakBefore w:val="0"/>
              <w:spacing w:before="40"/>
              <w:jc w:val="center"/>
              <w:textAlignment w:val="auto"/>
            </w:pPr>
          </w:p>
        </w:tc>
        <w:tc>
          <w:tcPr>
            <w:tcW w:w="1451" w:type="dxa"/>
            <w:tcBorders>
              <w:top w:val="nil"/>
              <w:left w:val="nil"/>
              <w:bottom w:val="nil"/>
              <w:right w:val="nil"/>
            </w:tcBorders>
            <w:shd w:val="clear" w:color="FFFFFF" w:fill="FFFFFF"/>
          </w:tcPr>
          <w:p>
            <w:pPr>
              <w:pageBreakBefore w:val="0"/>
              <w:spacing w:before="40"/>
              <w:jc w:val="center"/>
              <w:textAlignment w:val="auto"/>
            </w:pPr>
            <w:r>
              <w:rPr>
                <w:rFonts w:ascii="Times New Roman" w:hAnsi="Times New Roman" w:eastAsia="Times New Roman" w:cs="Times New Roman"/>
                <w:b w:val="0"/>
                <w:i w:val="0"/>
                <w:color w:val="auto"/>
                <w:position w:val="-1"/>
                <w:sz w:val="20"/>
                <w:u w:val="none"/>
              </w:rPr>
              <w:t>77</w:t>
            </w:r>
          </w:p>
        </w:tc>
      </w:tr>
    </w:tbl>
    <w:p>
      <w:pPr>
        <w:numPr>
          <w:ilvl w:val="0"/>
          <w:numId w:val="0"/>
        </w:numPr>
      </w:pP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rightChars="0" w:firstLine="602" w:firstLineChars="200"/>
        <w:jc w:val="both"/>
        <w:textAlignment w:val="auto"/>
        <w:outlineLvl w:val="9"/>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临河区司法局主要承担全区普法依法治理、社会矛盾纠纷排查调处、人民调解、社区矫正人员管理、刑释解教人员安置帮教、律师、公证、法律援助、基层法律服务、仲裁和参与社会治安综合治理工作。</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rightChars="0" w:firstLine="602" w:firstLineChars="200"/>
        <w:jc w:val="both"/>
        <w:textAlignment w:val="auto"/>
        <w:outlineLvl w:val="9"/>
        <w:rPr>
          <w:rFonts w:hint="eastAsia" w:ascii="仿宋" w:hAnsi="仿宋" w:eastAsia="仿宋" w:cs="Times New Roman"/>
          <w:b/>
          <w:bCs/>
          <w:kern w:val="2"/>
          <w:sz w:val="30"/>
          <w:szCs w:val="32"/>
          <w:lang w:val="en-US" w:eastAsia="zh-CN" w:bidi="ar-SA"/>
        </w:rPr>
      </w:pPr>
      <w:bookmarkStart w:id="56" w:name="4.重要会计政策与会计估计变更情况。（略）"/>
      <w:bookmarkEnd w:id="56"/>
      <w:bookmarkStart w:id="57" w:name="_Toc35500810"/>
      <w:bookmarkStart w:id="58" w:name="_Toc35452584"/>
      <w:r>
        <w:rPr>
          <w:rFonts w:hint="eastAsia" w:ascii="仿宋" w:hAnsi="仿宋" w:eastAsia="仿宋" w:cs="Times New Roman"/>
          <w:b/>
          <w:bCs/>
          <w:kern w:val="2"/>
          <w:sz w:val="30"/>
          <w:szCs w:val="32"/>
          <w:lang w:val="en-US" w:eastAsia="zh-CN" w:bidi="ar-SA"/>
        </w:rPr>
        <w:t>临河区司法局2020年共有司法行政专项编制69个，事业编制8个，其中司法行政专项编制64人，事业编制8人，离岗4人，退休人员47人，抚恤人员1人，矛盾多元化解中心代发工资43人，年末财政供养人员共167人。</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rightChars="0" w:firstLine="602" w:firstLineChars="200"/>
        <w:jc w:val="both"/>
        <w:textAlignment w:val="auto"/>
        <w:outlineLvl w:val="9"/>
        <w:rPr>
          <w:rFonts w:hint="default"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当年人员变动情况：司法行政专项编制减少4人转入退休，离岗减少1人，退休减少1人增加1人</w:t>
      </w:r>
    </w:p>
    <w:p>
      <w:pPr>
        <w:pStyle w:val="5"/>
        <w:spacing w:before="0" w:after="0" w:line="360" w:lineRule="auto"/>
        <w:ind w:firstLine="602"/>
        <w:jc w:val="left"/>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4.重要会计政策与会计估计变更情况。</w:t>
      </w:r>
      <w:bookmarkEnd w:id="57"/>
      <w:bookmarkEnd w:id="58"/>
    </w:p>
    <w:p>
      <w:pPr>
        <w:pStyle w:val="111"/>
        <w:spacing w:line="360" w:lineRule="auto"/>
        <w:ind w:firstLine="602"/>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（1）会计期间。2020年1月1日至2020年12月31日。</w:t>
      </w:r>
    </w:p>
    <w:p>
      <w:pPr>
        <w:pStyle w:val="111"/>
        <w:spacing w:line="360" w:lineRule="auto"/>
        <w:ind w:firstLine="602"/>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（2）记账本位币人民币。</w:t>
      </w:r>
    </w:p>
    <w:p>
      <w:pPr>
        <w:pStyle w:val="111"/>
        <w:spacing w:line="360" w:lineRule="auto"/>
        <w:ind w:firstLine="602"/>
        <w:rPr>
          <w:rFonts w:hint="eastAsia" w:ascii="仿宋" w:hAnsi="仿宋" w:eastAsia="仿宋" w:cs="Times New Roman"/>
          <w:b/>
          <w:bCs/>
          <w:kern w:val="2"/>
          <w:sz w:val="30"/>
          <w:szCs w:val="32"/>
          <w:lang w:val="en-US" w:eastAsia="zh-CN" w:bidi="ar-SA"/>
        </w:rPr>
        <w:sectPr>
          <w:pgSz w:w="11910" w:h="16840"/>
          <w:pgMar w:top="1260" w:right="1680" w:bottom="1200" w:left="1680" w:header="0" w:footer="981" w:gutter="0"/>
          <w:cols w:space="720" w:num="1"/>
        </w:sectPr>
      </w:pPr>
      <w:r>
        <w:rPr>
          <w:rFonts w:hint="eastAsia" w:ascii="仿宋" w:hAnsi="仿宋" w:eastAsia="仿宋" w:cs="Times New Roman"/>
          <w:b/>
          <w:bCs/>
          <w:kern w:val="2"/>
          <w:sz w:val="30"/>
          <w:szCs w:val="32"/>
          <w:lang w:val="en-US" w:eastAsia="zh-CN" w:bidi="ar-SA"/>
        </w:rPr>
        <w:t>（3）本部门无</w:t>
      </w:r>
      <w:r>
        <w:rPr>
          <w:rFonts w:hint="eastAsia" w:ascii="仿宋" w:hAnsi="仿宋" w:eastAsia="仿宋" w:cs="Times New Roman"/>
          <w:b/>
          <w:bCs/>
          <w:kern w:val="2"/>
          <w:sz w:val="30"/>
          <w:szCs w:val="32"/>
          <w:lang w:val="en-US" w:eastAsia="zh-CN" w:bidi="ar-SA"/>
        </w:rPr>
        <w:t>重要会计政策与会计估计变更</w:t>
      </w:r>
    </w:p>
    <w:bookmarkEnd w:id="46"/>
    <w:p>
      <w:pPr>
        <w:pStyle w:val="5"/>
        <w:spacing w:before="0" w:after="0" w:line="360" w:lineRule="auto"/>
        <w:ind w:left="0" w:leftChars="0" w:firstLine="0" w:firstLineChars="0"/>
        <w:jc w:val="left"/>
        <w:rPr>
          <w:rFonts w:ascii="仿宋" w:hAnsi="仿宋" w:eastAsia="仿宋"/>
          <w:b/>
        </w:rPr>
      </w:pPr>
      <w:bookmarkStart w:id="59" w:name="_Toc333610277"/>
      <w:bookmarkStart w:id="60" w:name="_Toc435362300"/>
      <w:bookmarkStart w:id="61" w:name="_Toc35452585"/>
      <w:bookmarkStart w:id="62" w:name="_Toc435362498"/>
      <w:bookmarkStart w:id="63" w:name="_Toc435361955"/>
      <w:bookmarkStart w:id="64" w:name="_Toc35500811"/>
      <w:bookmarkStart w:id="65" w:name="_Toc435362073"/>
      <w:r>
        <w:rPr>
          <w:rFonts w:hint="eastAsia" w:ascii="仿宋" w:hAnsi="仿宋" w:eastAsia="仿宋"/>
          <w:b/>
        </w:rPr>
        <w:t>5.会计报表重要项目的明细信息</w:t>
      </w:r>
      <w:bookmarkEnd w:id="59"/>
      <w:r>
        <w:rPr>
          <w:rFonts w:hint="eastAsia" w:ascii="仿宋" w:hAnsi="仿宋" w:eastAsia="仿宋"/>
          <w:b/>
        </w:rPr>
        <w:t>及说明</w:t>
      </w:r>
      <w:bookmarkEnd w:id="60"/>
      <w:bookmarkEnd w:id="61"/>
      <w:bookmarkEnd w:id="62"/>
      <w:bookmarkEnd w:id="63"/>
      <w:bookmarkEnd w:id="64"/>
      <w:bookmarkEnd w:id="65"/>
      <w:r>
        <w:rPr>
          <w:rFonts w:ascii="仿宋" w:hAnsi="仿宋" w:eastAsia="仿宋"/>
          <w:b/>
        </w:rPr>
        <w:tab/>
      </w:r>
    </w:p>
    <w:p>
      <w:pPr>
        <w:pStyle w:val="111"/>
        <w:ind w:firstLine="600"/>
        <w:outlineLvl w:val="3"/>
        <w:rPr>
          <w:rFonts w:ascii="宋体" w:hAnsi="宋体" w:eastAsia="宋体"/>
        </w:rPr>
      </w:pPr>
      <w:r>
        <w:rPr>
          <w:rFonts w:hint="eastAsia" w:ascii="宋体" w:hAnsi="宋体" w:eastAsia="宋体"/>
        </w:rPr>
        <w:t>（</w:t>
      </w:r>
      <w:r>
        <w:rPr>
          <w:rFonts w:ascii="宋体" w:hAnsi="宋体" w:eastAsia="宋体"/>
        </w:rPr>
        <w:t>1</w:t>
      </w:r>
      <w:r>
        <w:rPr>
          <w:rFonts w:hint="eastAsia" w:ascii="宋体" w:hAnsi="宋体" w:eastAsia="宋体"/>
        </w:rPr>
        <w:t>）货币资金明细信息如下：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附表1</w:t>
            </w:r>
          </w:p>
          <w:p>
            <w:pPr>
              <w:rPr>
                <w:sz w:val="22"/>
                <w:szCs w:val="22"/>
              </w:rPr>
            </w:pP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center"/>
              <w:rPr>
                <w:b/>
                <w:bCs/>
                <w:sz w:val="22"/>
                <w:szCs w:val="22"/>
              </w:rPr>
            </w:pPr>
            <w:r>
              <w:rPr>
                <w:rFonts w:hint="eastAsia"/>
                <w:b/>
                <w:bCs/>
                <w:sz w:val="22"/>
                <w:szCs w:val="22"/>
              </w:rPr>
              <w:t>货币资金明细表</w:t>
            </w: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right"/>
              <w:rPr>
                <w:b/>
                <w:bCs/>
                <w:sz w:val="20"/>
                <w:szCs w:val="20"/>
              </w:rPr>
            </w:pPr>
            <w:r>
              <w:rPr>
                <w:rFonts w:hint="eastAsia"/>
                <w:sz w:val="20"/>
                <w:szCs w:val="20"/>
              </w:rPr>
              <w:t>单位：万元</w:t>
            </w:r>
          </w:p>
        </w:tc>
      </w:tr>
    </w:tbl>
    <w:p>
      <w:pPr>
        <w:snapToGrid w:val="0"/>
        <w:spacing w:line="20" w:lineRule="exact"/>
        <w:jc w:val="right"/>
        <w:rPr>
          <w:rFonts w:ascii="Arial" w:hAnsi="Arial" w:cs="Arial"/>
          <w:color w:val="000000"/>
          <w:sz w:val="20"/>
          <w:szCs w:val="20"/>
        </w:rPr>
      </w:pPr>
      <w:bookmarkStart w:id="66" w:name="RANGE!A1:D9"/>
      <w:bookmarkEnd w:id="66"/>
    </w:p>
    <w:tbl>
      <w:tblPr>
        <w:tblStyle w:val="35"/>
        <w:tblW w:w="8528" w:type="dxa"/>
        <w:jc w:val="center"/>
        <w:tblLayout w:type="fixed"/>
        <w:tblCellMar>
          <w:top w:w="0" w:type="dxa"/>
          <w:left w:w="108" w:type="dxa"/>
          <w:bottom w:w="0" w:type="dxa"/>
          <w:right w:w="108" w:type="dxa"/>
        </w:tblCellMar>
      </w:tblPr>
      <w:tblGrid>
        <w:gridCol w:w="3295"/>
        <w:gridCol w:w="2625"/>
        <w:gridCol w:w="2608"/>
      </w:tblGrid>
      <w:tr>
        <w:tblPrEx>
          <w:tblCellMar>
            <w:top w:w="0" w:type="dxa"/>
            <w:left w:w="108" w:type="dxa"/>
            <w:bottom w:w="0" w:type="dxa"/>
            <w:right w:w="108" w:type="dxa"/>
          </w:tblCellMar>
        </w:tblPrEx>
        <w:trPr>
          <w:trHeight w:val="397" w:hRule="exact"/>
          <w:tblHeader/>
          <w:jc w:val="center"/>
        </w:trPr>
        <w:tc>
          <w:tcPr>
            <w:tcW w:w="3295" w:type="dxa"/>
            <w:tcBorders>
              <w:top w:val="single" w:color="auto" w:sz="4" w:space="0"/>
              <w:left w:val="nil"/>
              <w:bottom w:val="single" w:color="auto" w:sz="4" w:space="0"/>
              <w:right w:val="nil"/>
            </w:tcBorders>
            <w:shd w:val="clear" w:color="FFFFFF" w:fill="FFFFFF"/>
            <w:vAlign w:val="center"/>
          </w:tcPr>
          <w:p>
            <w:pPr>
              <w:jc w:val="center"/>
              <w:rPr>
                <w:b/>
                <w:bCs/>
                <w:sz w:val="20"/>
                <w:szCs w:val="20"/>
              </w:rPr>
            </w:pPr>
            <w:r>
              <w:rPr>
                <w:rFonts w:hint="eastAsia"/>
                <w:b/>
                <w:bCs/>
                <w:sz w:val="20"/>
                <w:szCs w:val="20"/>
              </w:rPr>
              <w:t>项目</w:t>
            </w:r>
          </w:p>
        </w:tc>
        <w:tc>
          <w:tcPr>
            <w:tcW w:w="2625" w:type="dxa"/>
            <w:tcBorders>
              <w:top w:val="single" w:color="auto" w:sz="4" w:space="0"/>
              <w:left w:val="nil"/>
              <w:bottom w:val="single" w:color="auto" w:sz="4" w:space="0"/>
              <w:right w:val="nil"/>
            </w:tcBorders>
            <w:shd w:val="clear" w:color="FFFFFF" w:fill="FFFFFF"/>
            <w:vAlign w:val="center"/>
          </w:tcPr>
          <w:p>
            <w:pPr>
              <w:jc w:val="center"/>
              <w:rPr>
                <w:b/>
                <w:bCs/>
                <w:sz w:val="20"/>
                <w:szCs w:val="20"/>
              </w:rPr>
            </w:pPr>
            <w:r>
              <w:rPr>
                <w:rFonts w:hint="eastAsia"/>
                <w:b/>
                <w:bCs/>
                <w:sz w:val="20"/>
                <w:szCs w:val="20"/>
              </w:rPr>
              <w:t>年末数</w:t>
            </w:r>
          </w:p>
        </w:tc>
        <w:tc>
          <w:tcPr>
            <w:tcW w:w="2608" w:type="dxa"/>
            <w:tcBorders>
              <w:top w:val="single" w:color="auto" w:sz="4" w:space="0"/>
              <w:left w:val="nil"/>
              <w:bottom w:val="single" w:color="auto" w:sz="4" w:space="0"/>
              <w:right w:val="nil"/>
            </w:tcBorders>
            <w:shd w:val="clear" w:color="FFFFFF" w:fill="FFFFFF"/>
            <w:vAlign w:val="center"/>
          </w:tcPr>
          <w:p>
            <w:pPr>
              <w:jc w:val="center"/>
              <w:rPr>
                <w:b/>
                <w:bCs/>
                <w:sz w:val="20"/>
                <w:szCs w:val="20"/>
              </w:rPr>
            </w:pPr>
            <w:r>
              <w:rPr>
                <w:rFonts w:hint="eastAsia"/>
                <w:b/>
                <w:bCs/>
                <w:sz w:val="20"/>
                <w:szCs w:val="20"/>
              </w:rPr>
              <w:t>年初数</w:t>
            </w:r>
          </w:p>
        </w:tc>
      </w:tr>
      <w:tr>
        <w:tblPrEx>
          <w:tblCellMar>
            <w:top w:w="0" w:type="dxa"/>
            <w:left w:w="108" w:type="dxa"/>
            <w:bottom w:w="0" w:type="dxa"/>
            <w:right w:w="108" w:type="dxa"/>
          </w:tblCellMar>
        </w:tblPrEx>
        <w:trPr>
          <w:trHeight w:val="20" w:hRule="exact"/>
          <w:tblHeader/>
          <w:jc w:val="center"/>
        </w:trPr>
        <w:tc>
          <w:tcPr>
            <w:tcW w:w="3295" w:type="dxa"/>
            <w:tcBorders>
              <w:top w:val="single" w:color="auto" w:sz="4" w:space="0"/>
              <w:left w:val="nil"/>
              <w:right w:val="nil"/>
            </w:tcBorders>
            <w:shd w:val="clear" w:color="FFFFFF" w:fill="FFFFFF"/>
            <w:vAlign w:val="center"/>
          </w:tcPr>
          <w:p>
            <w:pPr>
              <w:jc w:val="center"/>
              <w:rPr>
                <w:b/>
                <w:bCs/>
                <w:sz w:val="20"/>
                <w:szCs w:val="20"/>
              </w:rPr>
            </w:pPr>
          </w:p>
        </w:tc>
        <w:tc>
          <w:tcPr>
            <w:tcW w:w="2625" w:type="dxa"/>
            <w:tcBorders>
              <w:top w:val="single" w:color="auto" w:sz="4" w:space="0"/>
              <w:left w:val="nil"/>
              <w:right w:val="nil"/>
            </w:tcBorders>
            <w:shd w:val="clear" w:color="FFFFFF" w:fill="FFFFFF"/>
            <w:vAlign w:val="center"/>
          </w:tcPr>
          <w:p>
            <w:pPr>
              <w:jc w:val="center"/>
              <w:rPr>
                <w:b/>
                <w:bCs/>
                <w:sz w:val="20"/>
                <w:szCs w:val="20"/>
              </w:rPr>
            </w:pPr>
          </w:p>
        </w:tc>
        <w:tc>
          <w:tcPr>
            <w:tcW w:w="2608" w:type="dxa"/>
            <w:tcBorders>
              <w:top w:val="single" w:color="auto" w:sz="4" w:space="0"/>
              <w:left w:val="nil"/>
              <w:right w:val="nil"/>
            </w:tcBorders>
            <w:shd w:val="clear" w:color="FFFFFF" w:fill="FFFFFF"/>
            <w:vAlign w:val="center"/>
          </w:tcPr>
          <w:p>
            <w:pPr>
              <w:jc w:val="center"/>
              <w:rPr>
                <w:b/>
                <w:bCs/>
                <w:sz w:val="20"/>
                <w:szCs w:val="20"/>
              </w:rPr>
            </w:pPr>
          </w:p>
        </w:tc>
      </w:tr>
      <w:tr>
        <w:tblPrEx>
          <w:tblCellMar>
            <w:top w:w="0" w:type="dxa"/>
            <w:left w:w="108" w:type="dxa"/>
            <w:bottom w:w="0" w:type="dxa"/>
            <w:right w:w="108" w:type="dxa"/>
          </w:tblCellMar>
        </w:tblPrEx>
        <w:trPr>
          <w:trHeight w:val="20" w:hRule="exact"/>
          <w:tblHeader/>
          <w:jc w:val="center"/>
        </w:trPr>
        <w:tc>
          <w:tcPr>
            <w:tcW w:w="3295" w:type="dxa"/>
            <w:tcBorders>
              <w:left w:val="nil"/>
              <w:right w:val="nil"/>
            </w:tcBorders>
            <w:shd w:val="clear" w:color="FFFFFF" w:fill="FFFFFF"/>
            <w:vAlign w:val="center"/>
          </w:tcPr>
          <w:p>
            <w:pPr>
              <w:jc w:val="center"/>
              <w:rPr>
                <w:b/>
                <w:bCs/>
                <w:sz w:val="20"/>
                <w:szCs w:val="20"/>
              </w:rPr>
            </w:pPr>
          </w:p>
        </w:tc>
        <w:tc>
          <w:tcPr>
            <w:tcW w:w="2625" w:type="dxa"/>
            <w:tcBorders>
              <w:left w:val="nil"/>
              <w:right w:val="nil"/>
            </w:tcBorders>
            <w:shd w:val="clear" w:color="FFFFFF" w:fill="FFFFFF"/>
            <w:vAlign w:val="center"/>
          </w:tcPr>
          <w:p>
            <w:pPr>
              <w:jc w:val="center"/>
              <w:rPr>
                <w:b/>
                <w:bCs/>
                <w:sz w:val="20"/>
                <w:szCs w:val="20"/>
              </w:rPr>
            </w:pPr>
          </w:p>
        </w:tc>
        <w:tc>
          <w:tcPr>
            <w:tcW w:w="2608" w:type="dxa"/>
            <w:tcBorders>
              <w:left w:val="nil"/>
              <w:right w:val="nil"/>
            </w:tcBorders>
            <w:shd w:val="clear" w:color="FFFFFF" w:fill="FFFFFF"/>
            <w:vAlign w:val="center"/>
          </w:tcPr>
          <w:p>
            <w:pPr>
              <w:jc w:val="center"/>
              <w:rPr>
                <w:b/>
                <w:bCs/>
                <w:sz w:val="20"/>
                <w:szCs w:val="20"/>
              </w:rPr>
            </w:pPr>
          </w:p>
        </w:tc>
      </w:tr>
      <w:tr>
        <w:tblPrEx>
          <w:tblCellMar>
            <w:top w:w="0" w:type="dxa"/>
            <w:left w:w="108" w:type="dxa"/>
            <w:bottom w:w="0" w:type="dxa"/>
            <w:right w:w="108" w:type="dxa"/>
          </w:tblCellMar>
        </w:tblPrEx>
        <w:trPr>
          <w:trHeight w:val="397" w:hRule="atLeast"/>
          <w:jc w:val="center"/>
        </w:trPr>
        <w:tc>
          <w:tcPr>
            <w:tcW w:w="3295" w:type="dxa"/>
            <w:tcBorders>
              <w:left w:val="nil"/>
              <w:bottom w:val="nil"/>
              <w:right w:val="nil"/>
            </w:tcBorders>
            <w:shd w:val="clear" w:color="FFFFFF" w:fill="FFFFFF"/>
            <w:vAlign w:val="center"/>
          </w:tcPr>
          <w:p>
            <w:pPr>
              <w:pageBreakBefore w:val="0"/>
              <w:ind w:firstLine="100" w:firstLineChars="50"/>
              <w:jc w:val="left"/>
              <w:textAlignment w:val="auto"/>
            </w:pPr>
            <w:r>
              <w:rPr>
                <w:b w:val="0"/>
                <w:i w:val="0"/>
                <w:color w:val="000000"/>
                <w:position w:val="-1"/>
                <w:sz w:val="20"/>
                <w:u w:val="none"/>
              </w:rPr>
              <w:t xml:space="preserve">  库存现金</w:t>
            </w:r>
          </w:p>
        </w:tc>
        <w:tc>
          <w:tcPr>
            <w:tcW w:w="2625" w:type="dxa"/>
            <w:tcBorders>
              <w:left w:val="nil"/>
              <w:bottom w:val="nil"/>
              <w:right w:val="nil"/>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2608" w:type="dxa"/>
            <w:tcBorders>
              <w:left w:val="nil"/>
              <w:bottom w:val="nil"/>
              <w:right w:val="nil"/>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3295" w:type="dxa"/>
            <w:tcBorders>
              <w:left w:val="nil"/>
              <w:bottom w:val="nil"/>
              <w:right w:val="nil"/>
            </w:tcBorders>
            <w:shd w:val="clear" w:color="FFFFFF" w:fill="FFFFFF"/>
            <w:vAlign w:val="center"/>
          </w:tcPr>
          <w:p>
            <w:pPr>
              <w:pageBreakBefore w:val="0"/>
              <w:ind w:firstLine="100" w:firstLineChars="50"/>
              <w:jc w:val="left"/>
              <w:textAlignment w:val="auto"/>
            </w:pPr>
            <w:r>
              <w:rPr>
                <w:b w:val="0"/>
                <w:i w:val="0"/>
                <w:color w:val="000000"/>
                <w:position w:val="-1"/>
                <w:sz w:val="20"/>
                <w:u w:val="none"/>
              </w:rPr>
              <w:t xml:space="preserve">  银行存款</w:t>
            </w:r>
          </w:p>
        </w:tc>
        <w:tc>
          <w:tcPr>
            <w:tcW w:w="2625" w:type="dxa"/>
            <w:tcBorders>
              <w:left w:val="nil"/>
              <w:bottom w:val="nil"/>
              <w:right w:val="nil"/>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15.69</w:t>
            </w:r>
          </w:p>
        </w:tc>
        <w:tc>
          <w:tcPr>
            <w:tcW w:w="2608" w:type="dxa"/>
            <w:tcBorders>
              <w:left w:val="nil"/>
              <w:bottom w:val="nil"/>
              <w:right w:val="nil"/>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9.59</w:t>
            </w:r>
          </w:p>
        </w:tc>
      </w:tr>
      <w:tr>
        <w:tblPrEx>
          <w:tblCellMar>
            <w:top w:w="0" w:type="dxa"/>
            <w:left w:w="108" w:type="dxa"/>
            <w:bottom w:w="0" w:type="dxa"/>
            <w:right w:w="108" w:type="dxa"/>
          </w:tblCellMar>
        </w:tblPrEx>
        <w:trPr>
          <w:trHeight w:val="397" w:hRule="atLeast"/>
          <w:jc w:val="center"/>
        </w:trPr>
        <w:tc>
          <w:tcPr>
            <w:tcW w:w="3295" w:type="dxa"/>
            <w:tcBorders>
              <w:left w:val="nil"/>
              <w:bottom w:val="nil"/>
              <w:right w:val="nil"/>
            </w:tcBorders>
            <w:shd w:val="clear" w:color="FFFFFF" w:fill="FFFFFF"/>
            <w:vAlign w:val="center"/>
          </w:tcPr>
          <w:p>
            <w:pPr>
              <w:pageBreakBefore w:val="0"/>
              <w:ind w:firstLine="100" w:firstLineChars="50"/>
              <w:jc w:val="left"/>
              <w:textAlignment w:val="auto"/>
            </w:pPr>
            <w:r>
              <w:rPr>
                <w:b w:val="0"/>
                <w:i w:val="0"/>
                <w:color w:val="000000"/>
                <w:position w:val="-1"/>
                <w:sz w:val="20"/>
                <w:u w:val="none"/>
              </w:rPr>
              <w:t xml:space="preserve">  其他货币资金</w:t>
            </w:r>
          </w:p>
        </w:tc>
        <w:tc>
          <w:tcPr>
            <w:tcW w:w="2625" w:type="dxa"/>
            <w:tcBorders>
              <w:left w:val="nil"/>
              <w:bottom w:val="nil"/>
              <w:right w:val="nil"/>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2608" w:type="dxa"/>
            <w:tcBorders>
              <w:left w:val="nil"/>
              <w:bottom w:val="nil"/>
              <w:right w:val="nil"/>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455" w:hRule="atLeast"/>
          <w:jc w:val="center"/>
        </w:trPr>
        <w:tc>
          <w:tcPr>
            <w:tcW w:w="3295" w:type="dxa"/>
            <w:tcBorders>
              <w:top w:val="single" w:color="auto" w:sz="4" w:space="0"/>
              <w:left w:val="nil"/>
              <w:bottom w:val="single" w:color="auto" w:sz="4" w:space="0"/>
              <w:right w:val="nil"/>
            </w:tcBorders>
            <w:shd w:val="clear" w:color="FFFFFF" w:fill="FFFFFF"/>
            <w:vAlign w:val="center"/>
          </w:tcPr>
          <w:p>
            <w:pPr>
              <w:pageBreakBefore w:val="0"/>
              <w:ind w:firstLine="100" w:firstLineChars="50"/>
              <w:jc w:val="center"/>
              <w:textAlignment w:val="auto"/>
            </w:pPr>
            <w:r>
              <w:rPr>
                <w:b/>
                <w:i w:val="0"/>
                <w:color w:val="000000"/>
                <w:position w:val="-1"/>
                <w:sz w:val="20"/>
                <w:u w:val="none"/>
              </w:rPr>
              <w:t>合计</w:t>
            </w:r>
          </w:p>
        </w:tc>
        <w:tc>
          <w:tcPr>
            <w:tcW w:w="2625" w:type="dxa"/>
            <w:tcBorders>
              <w:top w:val="single" w:color="auto" w:sz="4" w:space="0"/>
              <w:left w:val="nil"/>
              <w:bottom w:val="single" w:color="auto" w:sz="4" w:space="0"/>
              <w:right w:val="nil"/>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15.69</w:t>
            </w:r>
          </w:p>
        </w:tc>
        <w:tc>
          <w:tcPr>
            <w:tcW w:w="2608" w:type="dxa"/>
            <w:tcBorders>
              <w:top w:val="single" w:color="auto" w:sz="4" w:space="0"/>
              <w:left w:val="nil"/>
              <w:bottom w:val="single" w:color="auto" w:sz="4" w:space="0"/>
              <w:right w:val="nil"/>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9.59</w:t>
            </w:r>
          </w:p>
        </w:tc>
      </w:tr>
    </w:tbl>
    <w:p/>
    <w:p>
      <w:pPr>
        <w:pStyle w:val="111"/>
        <w:ind w:firstLine="600"/>
        <w:outlineLvl w:val="3"/>
        <w:rPr>
          <w:rFonts w:ascii="宋体" w:hAnsi="宋体" w:eastAsia="宋体"/>
        </w:rPr>
      </w:pPr>
      <w:r>
        <w:rPr>
          <w:rFonts w:hint="eastAsia" w:ascii="宋体" w:hAnsi="宋体" w:eastAsia="宋体"/>
        </w:rPr>
        <w:t>（</w:t>
      </w:r>
      <w:r>
        <w:rPr>
          <w:rFonts w:ascii="宋体" w:hAnsi="宋体" w:eastAsia="宋体"/>
        </w:rPr>
        <w:t>2</w:t>
      </w:r>
      <w:r>
        <w:rPr>
          <w:rFonts w:hint="eastAsia" w:ascii="宋体" w:hAnsi="宋体" w:eastAsia="宋体"/>
        </w:rPr>
        <w:t>）应收账款净额明细信息如下：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附表2</w:t>
            </w:r>
          </w:p>
          <w:p>
            <w:pPr>
              <w:jc w:val="center"/>
              <w:rPr>
                <w:sz w:val="22"/>
                <w:szCs w:val="22"/>
              </w:rPr>
            </w:pPr>
            <w:r>
              <w:rPr>
                <w:rFonts w:ascii="宋体" w:hAnsi="宋体" w:eastAsia="宋体" w:cs="宋体"/>
                <w:sz w:val="22"/>
              </w:rPr>
              <w:t>附表2为空表（略）</w:t>
            </w:r>
          </w:p>
        </w:tc>
      </w:tr>
    </w:tbl>
    <w:p>
      <w:pPr>
        <w:spacing w:line="20" w:lineRule="exact"/>
        <w:jc w:val="right"/>
        <w:rPr>
          <w:color w:val="000000"/>
          <w:sz w:val="20"/>
          <w:szCs w:val="20"/>
        </w:rPr>
      </w:pPr>
    </w:p>
    <w:p>
      <w:pPr>
        <w:pStyle w:val="145"/>
        <w:rPr>
          <w:lang w:eastAsia="zh-CN"/>
        </w:rPr>
      </w:pPr>
    </w:p>
    <w:p>
      <w:pPr>
        <w:pStyle w:val="145"/>
        <w:rPr>
          <w:rFonts w:ascii="宋体" w:hAnsi="宋体" w:eastAsia="宋体"/>
          <w:lang w:eastAsia="zh-CN"/>
        </w:rPr>
      </w:pPr>
      <w:r>
        <w:rPr>
          <w:rFonts w:hint="eastAsia"/>
          <w:lang w:eastAsia="zh-CN"/>
        </w:rPr>
        <w:t xml:space="preserve"> </w:t>
      </w:r>
      <w:r>
        <w:rPr>
          <w:rFonts w:hint="eastAsia" w:ascii="宋体" w:hAnsi="宋体" w:eastAsia="宋体" w:cs="宋体"/>
          <w:spacing w:val="-1"/>
          <w:sz w:val="20"/>
          <w:szCs w:val="20"/>
          <w:lang w:eastAsia="zh-CN"/>
        </w:rPr>
        <w:t>注：当期坏账准备冲</w:t>
      </w:r>
      <w:r>
        <w:rPr>
          <w:rFonts w:ascii="宋体" w:hAnsi="宋体" w:eastAsia="宋体" w:cs="宋体"/>
          <w:spacing w:val="-1"/>
          <w:sz w:val="20"/>
          <w:szCs w:val="20"/>
          <w:lang w:eastAsia="zh-CN"/>
        </w:rPr>
        <w:t>减数以“-”号填列。</w:t>
      </w:r>
    </w:p>
    <w:p>
      <w:pPr>
        <w:pStyle w:val="111"/>
        <w:ind w:firstLine="600"/>
        <w:outlineLvl w:val="3"/>
        <w:rPr>
          <w:rFonts w:ascii="宋体" w:hAnsi="宋体" w:eastAsia="宋体"/>
        </w:rPr>
      </w:pPr>
      <w:r>
        <w:rPr>
          <w:rFonts w:hint="eastAsia" w:ascii="宋体" w:hAnsi="宋体" w:eastAsia="宋体"/>
        </w:rPr>
        <w:t>（</w:t>
      </w:r>
      <w:r>
        <w:rPr>
          <w:rFonts w:ascii="宋体" w:hAnsi="宋体" w:eastAsia="宋体"/>
        </w:rPr>
        <w:t>3</w:t>
      </w:r>
      <w:r>
        <w:rPr>
          <w:rFonts w:hint="eastAsia" w:ascii="宋体" w:hAnsi="宋体" w:eastAsia="宋体"/>
        </w:rPr>
        <w:t>）预付账款明细信息如下：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附表3</w:t>
            </w:r>
          </w:p>
          <w:p>
            <w:pPr>
              <w:jc w:val="center"/>
              <w:rPr>
                <w:sz w:val="22"/>
                <w:szCs w:val="22"/>
              </w:rPr>
            </w:pPr>
            <w:r>
              <w:rPr>
                <w:rFonts w:ascii="宋体" w:hAnsi="宋体" w:eastAsia="宋体" w:cs="宋体"/>
                <w:sz w:val="22"/>
              </w:rPr>
              <w:t>附表3为空表（略）</w:t>
            </w:r>
          </w:p>
        </w:tc>
      </w:tr>
    </w:tbl>
    <w:p>
      <w:pPr>
        <w:spacing w:line="20" w:lineRule="exact"/>
        <w:jc w:val="right"/>
        <w:rPr>
          <w:color w:val="000000"/>
          <w:sz w:val="20"/>
          <w:szCs w:val="20"/>
        </w:rPr>
      </w:pPr>
    </w:p>
    <w:p>
      <w:pPr>
        <w:rPr>
          <w:color w:val="000000"/>
          <w:sz w:val="22"/>
          <w:szCs w:val="22"/>
        </w:rPr>
      </w:pPr>
    </w:p>
    <w:p>
      <w:pPr>
        <w:rPr>
          <w:color w:val="000000"/>
          <w:sz w:val="22"/>
          <w:szCs w:val="22"/>
        </w:rPr>
      </w:pPr>
    </w:p>
    <w:p>
      <w:pPr>
        <w:rPr>
          <w:color w:val="000000"/>
          <w:sz w:val="22"/>
          <w:szCs w:val="22"/>
        </w:rPr>
      </w:pPr>
    </w:p>
    <w:p>
      <w:pPr>
        <w:pStyle w:val="111"/>
        <w:ind w:firstLine="600"/>
        <w:outlineLvl w:val="3"/>
        <w:rPr>
          <w:rFonts w:ascii="宋体" w:hAnsi="宋体" w:eastAsia="宋体"/>
        </w:rPr>
      </w:pPr>
      <w:r>
        <w:rPr>
          <w:rFonts w:hint="eastAsia" w:ascii="宋体" w:hAnsi="宋体" w:eastAsia="宋体"/>
        </w:rPr>
        <w:t>（</w:t>
      </w:r>
      <w:r>
        <w:rPr>
          <w:rFonts w:ascii="宋体" w:hAnsi="宋体" w:eastAsia="宋体"/>
        </w:rPr>
        <w:t>4</w:t>
      </w:r>
      <w:r>
        <w:rPr>
          <w:rFonts w:hint="eastAsia" w:ascii="宋体" w:hAnsi="宋体" w:eastAsia="宋体"/>
        </w:rPr>
        <w:t>）其他应收款净额明细信息如下：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附表4</w:t>
            </w:r>
          </w:p>
          <w:p>
            <w:pPr>
              <w:rPr>
                <w:sz w:val="22"/>
                <w:szCs w:val="22"/>
              </w:rPr>
            </w:pP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center"/>
              <w:rPr>
                <w:b/>
                <w:bCs/>
                <w:sz w:val="22"/>
                <w:szCs w:val="22"/>
              </w:rPr>
            </w:pPr>
            <w:r>
              <w:rPr>
                <w:rFonts w:hint="eastAsia"/>
                <w:b/>
                <w:bCs/>
                <w:sz w:val="22"/>
                <w:szCs w:val="22"/>
              </w:rPr>
              <w:t>其他应收款净额明细表</w:t>
            </w: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right"/>
              <w:rPr>
                <w:b/>
                <w:bCs/>
                <w:sz w:val="20"/>
                <w:szCs w:val="20"/>
              </w:rPr>
            </w:pPr>
            <w:r>
              <w:rPr>
                <w:rFonts w:hint="eastAsia"/>
                <w:sz w:val="20"/>
                <w:szCs w:val="20"/>
              </w:rPr>
              <w:t>单位：万元</w:t>
            </w:r>
          </w:p>
        </w:tc>
      </w:tr>
    </w:tbl>
    <w:p>
      <w:pPr>
        <w:spacing w:line="20" w:lineRule="exact"/>
        <w:ind w:right="800"/>
        <w:rPr>
          <w:color w:val="000000"/>
          <w:sz w:val="20"/>
          <w:szCs w:val="20"/>
        </w:rPr>
      </w:pPr>
    </w:p>
    <w:tbl>
      <w:tblPr>
        <w:tblStyle w:val="36"/>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7"/>
        <w:gridCol w:w="1559"/>
        <w:gridCol w:w="1134"/>
        <w:gridCol w:w="1134"/>
        <w:gridCol w:w="1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7" w:type="dxa"/>
            <w:vMerge w:val="restart"/>
            <w:tcBorders>
              <w:left w:val="nil"/>
              <w:right w:val="nil"/>
            </w:tcBorders>
            <w:shd w:val="clear" w:color="FFFFFF" w:fill="FFFFFF"/>
          </w:tcPr>
          <w:p>
            <w:pPr>
              <w:pStyle w:val="145"/>
              <w:spacing w:line="720" w:lineRule="auto"/>
              <w:jc w:val="center"/>
              <w:rPr>
                <w:lang w:eastAsia="zh-CN"/>
              </w:rPr>
            </w:pPr>
            <w:r>
              <w:rPr>
                <w:rFonts w:hint="eastAsia"/>
                <w:b/>
                <w:bCs/>
                <w:lang w:eastAsia="zh-CN"/>
              </w:rPr>
              <w:t>债务人</w:t>
            </w:r>
          </w:p>
        </w:tc>
        <w:tc>
          <w:tcPr>
            <w:tcW w:w="1559" w:type="dxa"/>
            <w:tcBorders>
              <w:left w:val="nil"/>
              <w:right w:val="single" w:color="auto" w:sz="4" w:space="0"/>
            </w:tcBorders>
            <w:shd w:val="clear" w:color="FFFFFF" w:fill="FFFFFF"/>
          </w:tcPr>
          <w:p>
            <w:pPr>
              <w:pStyle w:val="145"/>
              <w:jc w:val="center"/>
              <w:rPr>
                <w:lang w:eastAsia="zh-CN"/>
              </w:rPr>
            </w:pPr>
            <w:r>
              <w:rPr>
                <w:rFonts w:ascii="宋体" w:hAnsi="宋体" w:eastAsia="宋体" w:cs="宋体"/>
                <w:b/>
                <w:bCs/>
                <w:sz w:val="20"/>
                <w:szCs w:val="20"/>
              </w:rPr>
              <w:t>应收账款原值</w:t>
            </w:r>
          </w:p>
        </w:tc>
        <w:tc>
          <w:tcPr>
            <w:tcW w:w="2268" w:type="dxa"/>
            <w:gridSpan w:val="2"/>
            <w:tcBorders>
              <w:left w:val="single" w:color="auto" w:sz="4" w:space="0"/>
              <w:right w:val="single" w:color="auto" w:sz="4" w:space="0"/>
            </w:tcBorders>
            <w:shd w:val="clear" w:color="FFFFFF" w:fill="FFFFFF"/>
          </w:tcPr>
          <w:p>
            <w:pPr>
              <w:pStyle w:val="145"/>
              <w:jc w:val="center"/>
              <w:rPr>
                <w:lang w:eastAsia="zh-CN"/>
              </w:rPr>
            </w:pPr>
            <w:r>
              <w:rPr>
                <w:rFonts w:ascii="宋体" w:hAnsi="宋体" w:eastAsia="宋体" w:cs="宋体"/>
                <w:b/>
                <w:bCs/>
                <w:sz w:val="20"/>
                <w:szCs w:val="20"/>
              </w:rPr>
              <w:t>减：坏账准备</w:t>
            </w:r>
          </w:p>
        </w:tc>
        <w:tc>
          <w:tcPr>
            <w:tcW w:w="1474" w:type="dxa"/>
            <w:tcBorders>
              <w:left w:val="single" w:color="auto" w:sz="4" w:space="0"/>
              <w:right w:val="nil"/>
            </w:tcBorders>
            <w:shd w:val="clear" w:color="FFFFFF" w:fill="FFFFFF"/>
          </w:tcPr>
          <w:p>
            <w:pPr>
              <w:pStyle w:val="145"/>
              <w:jc w:val="center"/>
              <w:rPr>
                <w:lang w:eastAsia="zh-CN"/>
              </w:rPr>
            </w:pPr>
            <w:r>
              <w:rPr>
                <w:rFonts w:ascii="宋体" w:hAnsi="宋体" w:eastAsia="宋体" w:cs="宋体"/>
                <w:b/>
                <w:bCs/>
                <w:sz w:val="20"/>
                <w:szCs w:val="20"/>
              </w:rPr>
              <w:t>应收账款净值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7" w:type="dxa"/>
            <w:vMerge w:val="continue"/>
            <w:tcBorders>
              <w:left w:val="nil"/>
              <w:bottom w:val="single" w:color="auto" w:sz="4" w:space="0"/>
              <w:right w:val="nil"/>
            </w:tcBorders>
            <w:shd w:val="clear" w:color="FFFFFF" w:fill="FFFFFF"/>
          </w:tcPr>
          <w:p>
            <w:pPr>
              <w:pStyle w:val="145"/>
              <w:jc w:val="both"/>
              <w:rPr>
                <w:lang w:eastAsia="zh-CN"/>
              </w:rPr>
            </w:pPr>
          </w:p>
        </w:tc>
        <w:tc>
          <w:tcPr>
            <w:tcW w:w="1559" w:type="dxa"/>
            <w:tcBorders>
              <w:left w:val="nil"/>
              <w:bottom w:val="single" w:color="auto" w:sz="4" w:space="0"/>
              <w:right w:val="single" w:color="auto" w:sz="4" w:space="0"/>
            </w:tcBorders>
            <w:shd w:val="clear" w:color="FFFFFF" w:fill="FFFFFF"/>
          </w:tcPr>
          <w:p>
            <w:pPr>
              <w:pStyle w:val="145"/>
              <w:spacing w:line="480" w:lineRule="auto"/>
              <w:jc w:val="center"/>
              <w:rPr>
                <w:lang w:eastAsia="zh-CN"/>
              </w:rPr>
            </w:pPr>
            <w:r>
              <w:rPr>
                <w:rFonts w:ascii="宋体" w:hAnsi="宋体" w:eastAsia="宋体" w:cs="宋体"/>
                <w:b/>
                <w:bCs/>
                <w:sz w:val="20"/>
                <w:szCs w:val="20"/>
              </w:rPr>
              <w:t>年末数</w:t>
            </w:r>
          </w:p>
        </w:tc>
        <w:tc>
          <w:tcPr>
            <w:tcW w:w="1134" w:type="dxa"/>
            <w:tcBorders>
              <w:left w:val="single" w:color="auto" w:sz="4" w:space="0"/>
              <w:bottom w:val="single" w:color="auto" w:sz="4" w:space="0"/>
              <w:right w:val="nil"/>
            </w:tcBorders>
            <w:shd w:val="clear" w:color="FFFFFF" w:fill="FFFFFF"/>
          </w:tcPr>
          <w:p>
            <w:pPr>
              <w:pStyle w:val="145"/>
              <w:jc w:val="center"/>
              <w:rPr>
                <w:b/>
                <w:bCs/>
                <w:sz w:val="20"/>
                <w:szCs w:val="20"/>
                <w:lang w:eastAsia="zh-CN"/>
              </w:rPr>
            </w:pPr>
            <w:r>
              <w:rPr>
                <w:rFonts w:hint="eastAsia"/>
                <w:b/>
                <w:bCs/>
                <w:sz w:val="20"/>
                <w:szCs w:val="20"/>
                <w:lang w:eastAsia="zh-CN"/>
              </w:rPr>
              <w:t>当期补提</w:t>
            </w:r>
          </w:p>
          <w:p>
            <w:pPr>
              <w:pStyle w:val="145"/>
              <w:jc w:val="center"/>
              <w:rPr>
                <w:lang w:eastAsia="zh-CN"/>
              </w:rPr>
            </w:pPr>
            <w:r>
              <w:rPr>
                <w:rFonts w:hint="eastAsia"/>
                <w:b/>
                <w:bCs/>
                <w:sz w:val="20"/>
                <w:szCs w:val="20"/>
                <w:lang w:eastAsia="zh-CN"/>
              </w:rPr>
              <w:t>或冲减数</w:t>
            </w:r>
          </w:p>
        </w:tc>
        <w:tc>
          <w:tcPr>
            <w:tcW w:w="1134" w:type="dxa"/>
            <w:tcBorders>
              <w:left w:val="nil"/>
              <w:bottom w:val="single" w:color="auto" w:sz="4" w:space="0"/>
              <w:right w:val="single" w:color="auto" w:sz="4" w:space="0"/>
            </w:tcBorders>
            <w:shd w:val="clear" w:color="FFFFFF" w:fill="FFFFFF"/>
          </w:tcPr>
          <w:p>
            <w:pPr>
              <w:pStyle w:val="145"/>
              <w:spacing w:line="480" w:lineRule="auto"/>
              <w:jc w:val="center"/>
              <w:rPr>
                <w:lang w:eastAsia="zh-CN"/>
              </w:rPr>
            </w:pPr>
            <w:r>
              <w:rPr>
                <w:rFonts w:ascii="宋体" w:hAnsi="宋体" w:eastAsia="宋体" w:cs="宋体"/>
                <w:b/>
                <w:bCs/>
                <w:sz w:val="20"/>
                <w:szCs w:val="20"/>
              </w:rPr>
              <w:t>年末数</w:t>
            </w:r>
          </w:p>
        </w:tc>
        <w:tc>
          <w:tcPr>
            <w:tcW w:w="1474" w:type="dxa"/>
            <w:tcBorders>
              <w:left w:val="single" w:color="auto" w:sz="4" w:space="0"/>
              <w:bottom w:val="single" w:color="auto" w:sz="4" w:space="0"/>
              <w:right w:val="nil"/>
            </w:tcBorders>
            <w:shd w:val="clear" w:color="FFFFFF" w:fill="FFFFFF"/>
          </w:tcPr>
          <w:p>
            <w:pPr>
              <w:pStyle w:val="145"/>
              <w:spacing w:line="480" w:lineRule="auto"/>
              <w:jc w:val="center"/>
              <w:rPr>
                <w:lang w:eastAsia="zh-CN"/>
              </w:rPr>
            </w:pPr>
            <w:r>
              <w:rPr>
                <w:rFonts w:ascii="宋体" w:hAnsi="宋体" w:eastAsia="宋体" w:cs="宋体"/>
                <w:b/>
                <w:bCs/>
                <w:sz w:val="20"/>
                <w:szCs w:val="20"/>
              </w:rPr>
              <w:t>年末数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exact"/>
        </w:trPr>
        <w:tc>
          <w:tcPr>
            <w:tcW w:w="3227" w:type="dxa"/>
            <w:tcBorders>
              <w:top w:val="single" w:color="auto" w:sz="4" w:space="0"/>
              <w:left w:val="nil"/>
              <w:bottom w:val="nil"/>
              <w:right w:val="nil"/>
            </w:tcBorders>
            <w:shd w:val="clear" w:color="FFFFFF" w:fill="FFFFFF"/>
          </w:tcPr>
          <w:p>
            <w:pPr>
              <w:pStyle w:val="145"/>
              <w:jc w:val="both"/>
              <w:rPr>
                <w:lang w:eastAsia="zh-CN"/>
              </w:rPr>
            </w:pPr>
          </w:p>
        </w:tc>
        <w:tc>
          <w:tcPr>
            <w:tcW w:w="1559" w:type="dxa"/>
            <w:tcBorders>
              <w:top w:val="single" w:color="auto" w:sz="4" w:space="0"/>
              <w:left w:val="nil"/>
              <w:bottom w:val="nil"/>
              <w:right w:val="single" w:color="auto" w:sz="4" w:space="0"/>
            </w:tcBorders>
            <w:shd w:val="clear" w:color="FFFFFF" w:fill="FFFFFF"/>
          </w:tcPr>
          <w:p>
            <w:pPr>
              <w:pStyle w:val="145"/>
              <w:jc w:val="both"/>
              <w:rPr>
                <w:lang w:eastAsia="zh-CN"/>
              </w:rPr>
            </w:pPr>
          </w:p>
        </w:tc>
        <w:tc>
          <w:tcPr>
            <w:tcW w:w="1134" w:type="dxa"/>
            <w:tcBorders>
              <w:top w:val="single" w:color="auto" w:sz="4" w:space="0"/>
              <w:left w:val="single" w:color="auto" w:sz="4" w:space="0"/>
              <w:bottom w:val="nil"/>
              <w:right w:val="nil"/>
            </w:tcBorders>
            <w:shd w:val="clear" w:color="FFFFFF" w:fill="FFFFFF"/>
          </w:tcPr>
          <w:p>
            <w:pPr>
              <w:pStyle w:val="145"/>
              <w:jc w:val="both"/>
              <w:rPr>
                <w:lang w:eastAsia="zh-CN"/>
              </w:rPr>
            </w:pPr>
          </w:p>
        </w:tc>
        <w:tc>
          <w:tcPr>
            <w:tcW w:w="1134" w:type="dxa"/>
            <w:tcBorders>
              <w:top w:val="single" w:color="auto" w:sz="4" w:space="0"/>
              <w:left w:val="nil"/>
              <w:bottom w:val="nil"/>
              <w:right w:val="single" w:color="auto" w:sz="4" w:space="0"/>
            </w:tcBorders>
            <w:shd w:val="clear" w:color="FFFFFF" w:fill="FFFFFF"/>
          </w:tcPr>
          <w:p>
            <w:pPr>
              <w:pStyle w:val="145"/>
              <w:jc w:val="both"/>
              <w:rPr>
                <w:lang w:eastAsia="zh-CN"/>
              </w:rPr>
            </w:pPr>
          </w:p>
        </w:tc>
        <w:tc>
          <w:tcPr>
            <w:tcW w:w="1474" w:type="dxa"/>
            <w:tcBorders>
              <w:top w:val="single" w:color="auto" w:sz="4" w:space="0"/>
              <w:left w:val="single" w:color="auto" w:sz="4" w:space="0"/>
              <w:bottom w:val="nil"/>
              <w:right w:val="nil"/>
            </w:tcBorders>
            <w:shd w:val="clear" w:color="FFFFFF" w:fill="FFFFFF"/>
          </w:tcPr>
          <w:p>
            <w:pPr>
              <w:pStyle w:val="145"/>
              <w:jc w:val="both"/>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227" w:type="dxa"/>
            <w:tcBorders>
              <w:top w:val="nil"/>
              <w:left w:val="nil"/>
              <w:bottom w:val="nil"/>
              <w:right w:val="nil"/>
            </w:tcBorders>
            <w:shd w:val="clear" w:color="FFFFFF" w:fill="FFFFFF"/>
          </w:tcPr>
          <w:p>
            <w:pPr>
              <w:pageBreakBefore w:val="0"/>
              <w:widowControl w:val="0"/>
              <w:spacing w:before="3"/>
              <w:ind w:left="107"/>
              <w:jc w:val="left"/>
              <w:textAlignment w:val="auto"/>
            </w:pPr>
            <w:r>
              <w:rPr>
                <w:rFonts w:ascii="Times New Roman" w:hAnsi="Times New Roman" w:cs="Times New Roman" w:eastAsiaTheme="minorEastAsia"/>
                <w:b/>
                <w:i w:val="0"/>
                <w:color w:val="auto"/>
                <w:position w:val="-1"/>
                <w:sz w:val="20"/>
                <w:u w:val="none"/>
              </w:rPr>
              <w:t>应收本部门内部单位</w:t>
            </w:r>
          </w:p>
        </w:tc>
        <w:tc>
          <w:tcPr>
            <w:tcW w:w="1559"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13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134"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47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227" w:type="dxa"/>
            <w:tcBorders>
              <w:top w:val="nil"/>
              <w:left w:val="nil"/>
              <w:bottom w:val="nil"/>
              <w:right w:val="nil"/>
            </w:tcBorders>
            <w:shd w:val="clear" w:color="FFFFFF" w:fill="FFFFFF"/>
          </w:tcPr>
          <w:p>
            <w:pPr>
              <w:pageBreakBefore w:val="0"/>
              <w:widowControl w:val="0"/>
              <w:spacing w:before="3"/>
              <w:ind w:left="107"/>
              <w:jc w:val="left"/>
              <w:textAlignment w:val="auto"/>
            </w:pPr>
            <w:r>
              <w:rPr>
                <w:rFonts w:ascii="Times New Roman" w:hAnsi="Times New Roman" w:cs="Times New Roman" w:eastAsiaTheme="minorEastAsia"/>
                <w:b/>
                <w:i w:val="0"/>
                <w:color w:val="auto"/>
                <w:position w:val="-1"/>
                <w:sz w:val="20"/>
                <w:u w:val="none"/>
              </w:rPr>
              <w:t>应收本部门以外的同级政府单位</w:t>
            </w:r>
          </w:p>
        </w:tc>
        <w:tc>
          <w:tcPr>
            <w:tcW w:w="1559"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636.55</w:t>
            </w:r>
          </w:p>
        </w:tc>
        <w:tc>
          <w:tcPr>
            <w:tcW w:w="113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134"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47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636.55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227" w:type="dxa"/>
            <w:tcBorders>
              <w:top w:val="nil"/>
              <w:left w:val="nil"/>
              <w:bottom w:val="nil"/>
              <w:right w:val="nil"/>
            </w:tcBorders>
            <w:shd w:val="clear" w:color="FFFFFF" w:fill="FFFFFF"/>
          </w:tcPr>
          <w:p>
            <w:pPr>
              <w:pageBreakBefore w:val="0"/>
              <w:widowControl w:val="0"/>
              <w:spacing w:before="3"/>
              <w:ind w:left="107"/>
              <w:jc w:val="both"/>
              <w:textAlignment w:val="auto"/>
            </w:pPr>
            <w:r>
              <w:rPr>
                <w:rFonts w:ascii="Times New Roman" w:hAnsi="Times New Roman" w:cs="Times New Roman" w:eastAsiaTheme="minorEastAsia"/>
                <w:b w:val="0"/>
                <w:i w:val="0"/>
                <w:color w:val="auto"/>
                <w:position w:val="-1"/>
                <w:sz w:val="20"/>
                <w:u w:val="none"/>
              </w:rPr>
              <w:t xml:space="preserve">  内蒙古自治区巴彦淖尔市临河区住房和城乡建设局（本级）</w:t>
            </w:r>
          </w:p>
        </w:tc>
        <w:tc>
          <w:tcPr>
            <w:tcW w:w="1559"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616.55</w:t>
            </w:r>
          </w:p>
        </w:tc>
        <w:tc>
          <w:tcPr>
            <w:tcW w:w="113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134"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47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616.55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227" w:type="dxa"/>
            <w:tcBorders>
              <w:top w:val="nil"/>
              <w:left w:val="nil"/>
              <w:bottom w:val="nil"/>
              <w:right w:val="nil"/>
            </w:tcBorders>
            <w:shd w:val="clear" w:color="FFFFFF" w:fill="FFFFFF"/>
          </w:tcPr>
          <w:p>
            <w:pPr>
              <w:pageBreakBefore w:val="0"/>
              <w:widowControl w:val="0"/>
              <w:spacing w:before="3"/>
              <w:ind w:left="107"/>
              <w:jc w:val="both"/>
              <w:textAlignment w:val="auto"/>
            </w:pPr>
            <w:r>
              <w:rPr>
                <w:rFonts w:ascii="Times New Roman" w:hAnsi="Times New Roman" w:cs="Times New Roman" w:eastAsiaTheme="minorEastAsia"/>
                <w:b w:val="0"/>
                <w:i w:val="0"/>
                <w:color w:val="auto"/>
                <w:position w:val="-1"/>
                <w:sz w:val="20"/>
                <w:u w:val="none"/>
              </w:rPr>
              <w:t xml:space="preserve">  内蒙古自治区巴彦淖尔市临河区狼山镇人民政府</w:t>
            </w:r>
          </w:p>
        </w:tc>
        <w:tc>
          <w:tcPr>
            <w:tcW w:w="1559"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15.00</w:t>
            </w:r>
          </w:p>
        </w:tc>
        <w:tc>
          <w:tcPr>
            <w:tcW w:w="113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134"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47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227" w:type="dxa"/>
            <w:tcBorders>
              <w:top w:val="nil"/>
              <w:left w:val="nil"/>
              <w:bottom w:val="nil"/>
              <w:right w:val="nil"/>
            </w:tcBorders>
            <w:shd w:val="clear" w:color="FFFFFF" w:fill="FFFFFF"/>
          </w:tcPr>
          <w:p>
            <w:pPr>
              <w:pageBreakBefore w:val="0"/>
              <w:widowControl w:val="0"/>
              <w:spacing w:before="3"/>
              <w:ind w:left="107"/>
              <w:jc w:val="both"/>
              <w:textAlignment w:val="auto"/>
            </w:pPr>
            <w:r>
              <w:rPr>
                <w:rFonts w:ascii="Times New Roman" w:hAnsi="Times New Roman" w:cs="Times New Roman" w:eastAsiaTheme="minorEastAsia"/>
                <w:b w:val="0"/>
                <w:i w:val="0"/>
                <w:color w:val="auto"/>
                <w:position w:val="-1"/>
                <w:sz w:val="20"/>
                <w:u w:val="none"/>
              </w:rPr>
              <w:t xml:space="preserve">  内蒙古自治区巴彦淖尔市临河区新华镇人民政府</w:t>
            </w:r>
          </w:p>
        </w:tc>
        <w:tc>
          <w:tcPr>
            <w:tcW w:w="1559"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5.00</w:t>
            </w:r>
          </w:p>
        </w:tc>
        <w:tc>
          <w:tcPr>
            <w:tcW w:w="113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134"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47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227" w:type="dxa"/>
            <w:tcBorders>
              <w:top w:val="nil"/>
              <w:left w:val="nil"/>
              <w:bottom w:val="nil"/>
              <w:right w:val="nil"/>
            </w:tcBorders>
            <w:shd w:val="clear" w:color="FFFFFF" w:fill="FFFFFF"/>
          </w:tcPr>
          <w:p>
            <w:pPr>
              <w:pageBreakBefore w:val="0"/>
              <w:widowControl w:val="0"/>
              <w:spacing w:before="3"/>
              <w:ind w:left="107"/>
              <w:jc w:val="left"/>
              <w:textAlignment w:val="auto"/>
            </w:pPr>
            <w:r>
              <w:rPr>
                <w:rFonts w:ascii="Times New Roman" w:hAnsi="Times New Roman" w:cs="Times New Roman" w:eastAsiaTheme="minorEastAsia"/>
                <w:b/>
                <w:i w:val="0"/>
                <w:color w:val="auto"/>
                <w:position w:val="-1"/>
                <w:sz w:val="20"/>
                <w:u w:val="none"/>
              </w:rPr>
              <w:t>应收本部门以外非同级政府单位</w:t>
            </w:r>
          </w:p>
        </w:tc>
        <w:tc>
          <w:tcPr>
            <w:tcW w:w="1559"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13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134"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47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227" w:type="dxa"/>
            <w:tcBorders>
              <w:top w:val="nil"/>
              <w:left w:val="nil"/>
              <w:bottom w:val="nil"/>
              <w:right w:val="nil"/>
            </w:tcBorders>
            <w:shd w:val="clear" w:color="FFFFFF" w:fill="FFFFFF"/>
          </w:tcPr>
          <w:p>
            <w:pPr>
              <w:pageBreakBefore w:val="0"/>
              <w:widowControl w:val="0"/>
              <w:spacing w:before="3"/>
              <w:ind w:left="107"/>
              <w:jc w:val="left"/>
              <w:textAlignment w:val="auto"/>
            </w:pPr>
            <w:r>
              <w:rPr>
                <w:rFonts w:ascii="Times New Roman" w:hAnsi="Times New Roman" w:cs="Times New Roman" w:eastAsiaTheme="minorEastAsia"/>
                <w:b/>
                <w:i w:val="0"/>
                <w:color w:val="auto"/>
                <w:position w:val="-1"/>
                <w:sz w:val="20"/>
                <w:u w:val="none"/>
              </w:rPr>
              <w:t>应收同级财政</w:t>
            </w:r>
          </w:p>
        </w:tc>
        <w:tc>
          <w:tcPr>
            <w:tcW w:w="1559"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92.50</w:t>
            </w:r>
          </w:p>
        </w:tc>
        <w:tc>
          <w:tcPr>
            <w:tcW w:w="113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134"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47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92.50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227" w:type="dxa"/>
            <w:tcBorders>
              <w:top w:val="nil"/>
              <w:left w:val="nil"/>
              <w:bottom w:val="nil"/>
              <w:right w:val="nil"/>
            </w:tcBorders>
            <w:shd w:val="clear" w:color="FFFFFF" w:fill="FFFFFF"/>
          </w:tcPr>
          <w:p>
            <w:pPr>
              <w:pageBreakBefore w:val="0"/>
              <w:widowControl w:val="0"/>
              <w:spacing w:before="3"/>
              <w:ind w:left="107"/>
              <w:jc w:val="left"/>
              <w:textAlignment w:val="auto"/>
            </w:pPr>
            <w:r>
              <w:rPr>
                <w:rFonts w:ascii="Times New Roman" w:hAnsi="Times New Roman" w:cs="Times New Roman" w:eastAsiaTheme="minorEastAsia"/>
                <w:b/>
                <w:i w:val="0"/>
                <w:color w:val="auto"/>
                <w:position w:val="-1"/>
                <w:sz w:val="20"/>
                <w:u w:val="none"/>
              </w:rPr>
              <w:t>应收其他单位</w:t>
            </w:r>
          </w:p>
        </w:tc>
        <w:tc>
          <w:tcPr>
            <w:tcW w:w="1559"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3.43</w:t>
            </w:r>
          </w:p>
        </w:tc>
        <w:tc>
          <w:tcPr>
            <w:tcW w:w="113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134" w:type="dxa"/>
            <w:tcBorders>
              <w:top w:val="nil"/>
              <w:left w:val="nil"/>
              <w:bottom w:val="nil"/>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474" w:type="dxa"/>
            <w:tcBorders>
              <w:top w:val="nil"/>
              <w:left w:val="single" w:color="auto" w:sz="4" w:space="0"/>
              <w:bottom w:val="nil"/>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3.43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3227" w:type="dxa"/>
            <w:tcBorders>
              <w:top w:val="single" w:color="auto" w:sz="4" w:space="0"/>
              <w:left w:val="nil"/>
              <w:bottom w:val="single" w:color="auto" w:sz="4" w:space="0"/>
              <w:right w:val="nil"/>
            </w:tcBorders>
            <w:shd w:val="clear" w:color="FFFFFF" w:fill="FFFFFF"/>
          </w:tcPr>
          <w:p>
            <w:pPr>
              <w:pageBreakBefore w:val="0"/>
              <w:widowControl w:val="0"/>
              <w:spacing w:before="3"/>
              <w:ind w:left="107"/>
              <w:jc w:val="center"/>
              <w:textAlignment w:val="auto"/>
            </w:pPr>
            <w:r>
              <w:rPr>
                <w:rFonts w:ascii="Times New Roman" w:hAnsi="Times New Roman" w:cs="Times New Roman" w:eastAsiaTheme="minorEastAsia"/>
                <w:b/>
                <w:i w:val="0"/>
                <w:color w:val="auto"/>
                <w:position w:val="-1"/>
                <w:sz w:val="20"/>
                <w:u w:val="none"/>
              </w:rPr>
              <w:t>合计</w:t>
            </w:r>
          </w:p>
        </w:tc>
        <w:tc>
          <w:tcPr>
            <w:tcW w:w="1559" w:type="dxa"/>
            <w:tcBorders>
              <w:top w:val="single" w:color="auto" w:sz="4" w:space="0"/>
              <w:left w:val="nil"/>
              <w:bottom w:val="single" w:color="auto" w:sz="4" w:space="0"/>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732.48</w:t>
            </w:r>
          </w:p>
        </w:tc>
        <w:tc>
          <w:tcPr>
            <w:tcW w:w="1134" w:type="dxa"/>
            <w:tcBorders>
              <w:top w:val="single" w:color="auto" w:sz="4" w:space="0"/>
              <w:left w:val="single" w:color="auto" w:sz="4" w:space="0"/>
              <w:bottom w:val="single" w:color="auto" w:sz="4" w:space="0"/>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134" w:type="dxa"/>
            <w:tcBorders>
              <w:top w:val="single" w:color="auto" w:sz="4" w:space="0"/>
              <w:left w:val="nil"/>
              <w:bottom w:val="single" w:color="auto" w:sz="4" w:space="0"/>
              <w:right w:val="single" w:color="auto" w:sz="4" w:space="0"/>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0.00</w:t>
            </w:r>
          </w:p>
        </w:tc>
        <w:tc>
          <w:tcPr>
            <w:tcW w:w="1474" w:type="dxa"/>
            <w:tcBorders>
              <w:top w:val="single" w:color="auto" w:sz="4" w:space="0"/>
              <w:left w:val="single" w:color="auto" w:sz="4" w:space="0"/>
              <w:bottom w:val="single" w:color="auto" w:sz="4" w:space="0"/>
              <w:right w:val="nil"/>
            </w:tcBorders>
            <w:shd w:val="clear" w:color="FFFFFF" w:fill="FFFFFF"/>
          </w:tcPr>
          <w:p>
            <w:pPr>
              <w:pageBreakBefore w:val="0"/>
              <w:widowControl w:val="0"/>
              <w:spacing w:before="3"/>
              <w:ind w:left="107"/>
              <w:jc w:val="right"/>
              <w:textAlignment w:val="auto"/>
            </w:pPr>
            <w:r>
              <w:rPr>
                <w:rFonts w:ascii="Times New Roman" w:hAnsi="Times New Roman" w:cs="Times New Roman" w:eastAsiaTheme="minorEastAsia"/>
                <w:b w:val="0"/>
                <w:i w:val="0"/>
                <w:color w:val="auto"/>
                <w:position w:val="-1"/>
                <w:sz w:val="20"/>
                <w:u w:val="none"/>
              </w:rPr>
              <w:t>732.48</w:t>
            </w:r>
          </w:p>
        </w:tc>
      </w:tr>
    </w:tbl>
    <w:p>
      <w:pPr>
        <w:pStyle w:val="145"/>
        <w:rPr>
          <w:rFonts w:ascii="宋体" w:hAnsi="宋体" w:eastAsia="宋体"/>
          <w:lang w:eastAsia="zh-CN"/>
        </w:rPr>
      </w:pPr>
      <w:r>
        <w:rPr>
          <w:rFonts w:hint="eastAsia" w:ascii="宋体" w:hAnsi="宋体" w:eastAsia="宋体" w:cs="宋体"/>
          <w:spacing w:val="-1"/>
          <w:sz w:val="20"/>
          <w:szCs w:val="20"/>
          <w:lang w:eastAsia="zh-CN"/>
        </w:rPr>
        <w:t>注：当期坏账准备冲</w:t>
      </w:r>
      <w:r>
        <w:rPr>
          <w:rFonts w:ascii="宋体" w:hAnsi="宋体" w:eastAsia="宋体" w:cs="宋体"/>
          <w:spacing w:val="-1"/>
          <w:sz w:val="20"/>
          <w:szCs w:val="20"/>
          <w:lang w:eastAsia="zh-CN"/>
        </w:rPr>
        <w:t>减数以“-”号填列。</w:t>
      </w:r>
    </w:p>
    <w:p>
      <w:pPr>
        <w:pStyle w:val="111"/>
        <w:ind w:firstLine="0" w:firstLineChars="0"/>
        <w:outlineLvl w:val="4"/>
        <w:sectPr>
          <w:pgSz w:w="11906" w:h="16838"/>
          <w:pgMar w:top="1440" w:right="1797" w:bottom="1440" w:left="1797" w:header="851" w:footer="992" w:gutter="0"/>
          <w:cols w:space="425" w:num="1"/>
          <w:docGrid w:type="lines" w:linePitch="326" w:charSpace="0"/>
        </w:sectPr>
      </w:pPr>
    </w:p>
    <w:p>
      <w:pPr>
        <w:pStyle w:val="111"/>
        <w:ind w:firstLine="600"/>
        <w:outlineLvl w:val="3"/>
        <w:rPr>
          <w:rFonts w:ascii="宋体" w:hAnsi="宋体" w:eastAsia="宋体"/>
        </w:rPr>
      </w:pPr>
      <w:r>
        <w:rPr>
          <w:rFonts w:hint="eastAsia" w:ascii="宋体" w:hAnsi="宋体" w:eastAsia="宋体"/>
        </w:rPr>
        <w:t>（</w:t>
      </w:r>
      <w:r>
        <w:rPr>
          <w:rFonts w:ascii="宋体" w:hAnsi="宋体" w:eastAsia="宋体"/>
        </w:rPr>
        <w:t>5</w:t>
      </w:r>
      <w:r>
        <w:rPr>
          <w:rFonts w:hint="eastAsia" w:ascii="宋体" w:hAnsi="宋体" w:eastAsia="宋体"/>
        </w:rPr>
        <w:t>）长期投资及投资收益明细信息如下：</w:t>
      </w:r>
    </w:p>
    <w:tbl>
      <w:tblPr>
        <w:tblStyle w:val="35"/>
        <w:tblW w:w="12465" w:type="dxa"/>
        <w:jc w:val="center"/>
        <w:tblLayout w:type="fixed"/>
        <w:tblCellMar>
          <w:top w:w="0" w:type="dxa"/>
          <w:left w:w="108" w:type="dxa"/>
          <w:bottom w:w="0" w:type="dxa"/>
          <w:right w:w="108" w:type="dxa"/>
        </w:tblCellMar>
      </w:tblPr>
      <w:tblGrid>
        <w:gridCol w:w="12465"/>
      </w:tblGrid>
      <w:tr>
        <w:tblPrEx>
          <w:tblCellMar>
            <w:top w:w="0" w:type="dxa"/>
            <w:left w:w="108" w:type="dxa"/>
            <w:bottom w:w="0" w:type="dxa"/>
            <w:right w:w="108" w:type="dxa"/>
          </w:tblCellMar>
        </w:tblPrEx>
        <w:trPr>
          <w:trHeight w:val="794" w:hRule="exact"/>
          <w:jc w:val="center"/>
        </w:trPr>
        <w:tc>
          <w:tcPr>
            <w:tcW w:w="12465" w:type="dxa"/>
            <w:tcBorders>
              <w:top w:val="nil"/>
              <w:left w:val="nil"/>
              <w:bottom w:val="nil"/>
              <w:right w:val="nil"/>
            </w:tcBorders>
            <w:shd w:val="clear" w:color="FFFFFF" w:fill="FFFFFF"/>
            <w:vAlign w:val="center"/>
          </w:tcPr>
          <w:p>
            <w:pPr>
              <w:rPr>
                <w:sz w:val="22"/>
                <w:szCs w:val="22"/>
              </w:rPr>
            </w:pPr>
            <w:r>
              <w:rPr>
                <w:rFonts w:hint="eastAsia"/>
                <w:sz w:val="22"/>
                <w:szCs w:val="22"/>
              </w:rPr>
              <w:t>附表5</w:t>
            </w:r>
          </w:p>
          <w:p>
            <w:pPr>
              <w:jc w:val="center"/>
              <w:rPr>
                <w:sz w:val="22"/>
                <w:szCs w:val="22"/>
              </w:rPr>
            </w:pPr>
            <w:r>
              <w:rPr>
                <w:rFonts w:ascii="宋体" w:hAnsi="宋体" w:eastAsia="宋体" w:cs="宋体"/>
                <w:sz w:val="22"/>
              </w:rPr>
              <w:t>附表5为空表（略）</w:t>
            </w:r>
          </w:p>
        </w:tc>
      </w:tr>
    </w:tbl>
    <w:p>
      <w:pPr>
        <w:spacing w:line="20" w:lineRule="exact"/>
        <w:jc w:val="right"/>
        <w:rPr>
          <w:b/>
          <w:bCs/>
          <w:sz w:val="20"/>
          <w:szCs w:val="20"/>
        </w:rPr>
      </w:pPr>
    </w:p>
    <w:p>
      <w:pPr>
        <w:rPr>
          <w:color w:val="FF0000"/>
          <w:sz w:val="22"/>
          <w:szCs w:val="22"/>
        </w:rPr>
      </w:pPr>
    </w:p>
    <w:p>
      <w:pPr>
        <w:pStyle w:val="111"/>
        <w:ind w:firstLine="600"/>
      </w:pPr>
    </w:p>
    <w:p>
      <w:pPr>
        <w:pStyle w:val="111"/>
        <w:ind w:firstLine="600"/>
        <w:jc w:val="right"/>
        <w:outlineLvl w:val="4"/>
        <w:sectPr>
          <w:pgSz w:w="16838" w:h="11906" w:orient="landscape"/>
          <w:pgMar w:top="1797" w:right="1440" w:bottom="1797" w:left="1440" w:header="851" w:footer="992" w:gutter="0"/>
          <w:cols w:space="425" w:num="1"/>
          <w:docGrid w:type="lines" w:linePitch="326" w:charSpace="0"/>
        </w:sectPr>
      </w:pPr>
    </w:p>
    <w:p/>
    <w:p>
      <w:pPr>
        <w:pStyle w:val="111"/>
        <w:ind w:firstLine="600"/>
        <w:outlineLvl w:val="3"/>
        <w:rPr>
          <w:rFonts w:ascii="宋体" w:hAnsi="宋体" w:eastAsia="宋体"/>
        </w:rPr>
      </w:pPr>
      <w:r>
        <w:rPr>
          <w:rFonts w:hint="eastAsia" w:ascii="宋体" w:hAnsi="宋体" w:eastAsia="宋体"/>
        </w:rPr>
        <w:t>（</w:t>
      </w:r>
      <w:r>
        <w:rPr>
          <w:rFonts w:ascii="宋体" w:hAnsi="宋体" w:eastAsia="宋体"/>
        </w:rPr>
        <w:t>6</w:t>
      </w:r>
      <w:r>
        <w:rPr>
          <w:rFonts w:hint="eastAsia" w:ascii="宋体" w:hAnsi="宋体" w:eastAsia="宋体"/>
        </w:rPr>
        <w:t>）固定资产明细信息如下：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附表6</w:t>
            </w:r>
          </w:p>
          <w:p>
            <w:pPr>
              <w:rPr>
                <w:sz w:val="22"/>
                <w:szCs w:val="22"/>
              </w:rPr>
            </w:pP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center"/>
              <w:rPr>
                <w:b/>
                <w:bCs/>
                <w:sz w:val="22"/>
                <w:szCs w:val="22"/>
              </w:rPr>
            </w:pPr>
            <w:r>
              <w:rPr>
                <w:rFonts w:hint="eastAsia"/>
                <w:b/>
                <w:bCs/>
                <w:sz w:val="22"/>
                <w:szCs w:val="22"/>
              </w:rPr>
              <w:t>固定资产明细表</w:t>
            </w: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right"/>
              <w:rPr>
                <w:b/>
                <w:bCs/>
                <w:sz w:val="20"/>
                <w:szCs w:val="20"/>
              </w:rPr>
            </w:pPr>
            <w:r>
              <w:rPr>
                <w:rFonts w:hint="eastAsia"/>
                <w:sz w:val="20"/>
                <w:szCs w:val="20"/>
              </w:rPr>
              <w:t>单位：万元</w:t>
            </w:r>
          </w:p>
        </w:tc>
      </w:tr>
    </w:tbl>
    <w:p>
      <w:pPr>
        <w:spacing w:line="20" w:lineRule="exact"/>
        <w:jc w:val="right"/>
        <w:rPr>
          <w:sz w:val="20"/>
          <w:szCs w:val="20"/>
        </w:rPr>
      </w:pPr>
    </w:p>
    <w:tbl>
      <w:tblPr>
        <w:tblStyle w:val="35"/>
        <w:tblW w:w="9607" w:type="dxa"/>
        <w:jc w:val="center"/>
        <w:tblLayout w:type="fixed"/>
        <w:tblCellMar>
          <w:top w:w="0" w:type="dxa"/>
          <w:left w:w="108" w:type="dxa"/>
          <w:bottom w:w="0" w:type="dxa"/>
          <w:right w:w="108" w:type="dxa"/>
        </w:tblCellMar>
      </w:tblPr>
      <w:tblGrid>
        <w:gridCol w:w="3545"/>
        <w:gridCol w:w="1908"/>
        <w:gridCol w:w="1166"/>
        <w:gridCol w:w="1222"/>
        <w:gridCol w:w="1766"/>
      </w:tblGrid>
      <w:tr>
        <w:tblPrEx>
          <w:tblCellMar>
            <w:top w:w="0" w:type="dxa"/>
            <w:left w:w="108" w:type="dxa"/>
            <w:bottom w:w="0" w:type="dxa"/>
            <w:right w:w="108" w:type="dxa"/>
          </w:tblCellMar>
        </w:tblPrEx>
        <w:trPr>
          <w:trHeight w:val="397" w:hRule="atLeast"/>
          <w:tblHeader/>
          <w:jc w:val="center"/>
        </w:trPr>
        <w:tc>
          <w:tcPr>
            <w:tcW w:w="3545"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项目</w:t>
            </w:r>
          </w:p>
        </w:tc>
        <w:tc>
          <w:tcPr>
            <w:tcW w:w="1908"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年初数</w:t>
            </w:r>
          </w:p>
        </w:tc>
        <w:tc>
          <w:tcPr>
            <w:tcW w:w="1166"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本年增加</w:t>
            </w:r>
          </w:p>
        </w:tc>
        <w:tc>
          <w:tcPr>
            <w:tcW w:w="1222"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本年减少</w:t>
            </w:r>
          </w:p>
        </w:tc>
        <w:tc>
          <w:tcPr>
            <w:tcW w:w="1766"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年末数</w:t>
            </w:r>
          </w:p>
        </w:tc>
      </w:tr>
      <w:tr>
        <w:tblPrEx>
          <w:tblCellMar>
            <w:top w:w="0" w:type="dxa"/>
            <w:left w:w="108" w:type="dxa"/>
            <w:bottom w:w="0" w:type="dxa"/>
            <w:right w:w="108" w:type="dxa"/>
          </w:tblCellMar>
        </w:tblPrEx>
        <w:trPr>
          <w:trHeight w:val="20" w:hRule="exact"/>
          <w:tblHeader/>
          <w:jc w:val="center"/>
        </w:trPr>
        <w:tc>
          <w:tcPr>
            <w:tcW w:w="3545" w:type="dxa"/>
            <w:tcBorders>
              <w:top w:val="single" w:color="auto" w:sz="4" w:space="0"/>
            </w:tcBorders>
            <w:shd w:val="clear" w:color="FFFFFF" w:fill="FFFFFF"/>
            <w:vAlign w:val="center"/>
          </w:tcPr>
          <w:p>
            <w:pPr>
              <w:jc w:val="center"/>
              <w:rPr>
                <w:b/>
                <w:bCs/>
                <w:sz w:val="20"/>
                <w:szCs w:val="20"/>
              </w:rPr>
            </w:pPr>
          </w:p>
        </w:tc>
        <w:tc>
          <w:tcPr>
            <w:tcW w:w="1908" w:type="dxa"/>
            <w:tcBorders>
              <w:top w:val="single" w:color="auto" w:sz="4" w:space="0"/>
            </w:tcBorders>
            <w:shd w:val="clear" w:color="FFFFFF" w:fill="FFFFFF"/>
            <w:vAlign w:val="center"/>
          </w:tcPr>
          <w:p>
            <w:pPr>
              <w:jc w:val="center"/>
              <w:rPr>
                <w:b/>
                <w:bCs/>
                <w:sz w:val="20"/>
                <w:szCs w:val="20"/>
              </w:rPr>
            </w:pPr>
          </w:p>
        </w:tc>
        <w:tc>
          <w:tcPr>
            <w:tcW w:w="1166" w:type="dxa"/>
            <w:tcBorders>
              <w:top w:val="single" w:color="auto" w:sz="4" w:space="0"/>
            </w:tcBorders>
            <w:shd w:val="clear" w:color="FFFFFF" w:fill="FFFFFF"/>
            <w:vAlign w:val="center"/>
          </w:tcPr>
          <w:p>
            <w:pPr>
              <w:jc w:val="center"/>
              <w:rPr>
                <w:b/>
                <w:bCs/>
                <w:sz w:val="20"/>
                <w:szCs w:val="20"/>
              </w:rPr>
            </w:pPr>
          </w:p>
        </w:tc>
        <w:tc>
          <w:tcPr>
            <w:tcW w:w="1222" w:type="dxa"/>
            <w:tcBorders>
              <w:top w:val="single" w:color="auto" w:sz="4" w:space="0"/>
            </w:tcBorders>
            <w:shd w:val="clear" w:color="FFFFFF" w:fill="FFFFFF"/>
            <w:vAlign w:val="center"/>
          </w:tcPr>
          <w:p>
            <w:pPr>
              <w:jc w:val="center"/>
              <w:rPr>
                <w:b/>
                <w:bCs/>
                <w:sz w:val="20"/>
                <w:szCs w:val="20"/>
              </w:rPr>
            </w:pPr>
          </w:p>
        </w:tc>
        <w:tc>
          <w:tcPr>
            <w:tcW w:w="1766" w:type="dxa"/>
            <w:tcBorders>
              <w:top w:val="single" w:color="auto" w:sz="4" w:space="0"/>
            </w:tcBorders>
            <w:shd w:val="clear" w:color="FFFFFF" w:fill="FFFFFF"/>
            <w:vAlign w:val="center"/>
          </w:tcPr>
          <w:p>
            <w:pPr>
              <w:jc w:val="center"/>
              <w:rPr>
                <w:b/>
                <w:bCs/>
                <w:sz w:val="20"/>
                <w:szCs w:val="20"/>
              </w:rPr>
            </w:pP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i w:val="0"/>
                <w:color w:val="000000"/>
                <w:position w:val="-1"/>
                <w:sz w:val="20"/>
                <w:u w:val="none"/>
              </w:rPr>
              <w:t>原值合计</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827.89</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20.79</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848.68</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房屋及构筑物</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254.09</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254.09</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通用设备</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473.04</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15.09</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488.13</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专用设备</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9.74</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9.74</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文物和陈列品</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图书、档案</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1.63</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1.63</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家具、用具、装具及动植物</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89.39</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5.70</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95.09</w:t>
            </w:r>
          </w:p>
        </w:tc>
      </w:tr>
      <w:tr>
        <w:tblPrEx>
          <w:tblCellMar>
            <w:top w:w="0" w:type="dxa"/>
            <w:left w:w="108" w:type="dxa"/>
            <w:bottom w:w="0" w:type="dxa"/>
            <w:right w:w="108" w:type="dxa"/>
          </w:tblCellMar>
        </w:tblPrEx>
        <w:trPr>
          <w:trHeight w:val="455" w:hRule="atLeast"/>
          <w:jc w:val="center"/>
        </w:trPr>
        <w:tc>
          <w:tcPr>
            <w:tcW w:w="3545" w:type="dxa"/>
            <w:tcBorders>
              <w:top w:val="single" w:color="auto" w:sz="4" w:space="0"/>
            </w:tcBorders>
            <w:shd w:val="clear" w:color="FFFFFF" w:fill="FFFFFF"/>
            <w:vAlign w:val="center"/>
          </w:tcPr>
          <w:p>
            <w:pPr>
              <w:pageBreakBefore w:val="0"/>
              <w:jc w:val="left"/>
              <w:textAlignment w:val="auto"/>
            </w:pPr>
            <w:r>
              <w:rPr>
                <w:b/>
                <w:i w:val="0"/>
                <w:color w:val="000000"/>
                <w:position w:val="-1"/>
                <w:sz w:val="20"/>
                <w:u w:val="none"/>
              </w:rPr>
              <w:t>累计折旧合计</w:t>
            </w:r>
          </w:p>
        </w:tc>
        <w:tc>
          <w:tcPr>
            <w:tcW w:w="1908"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370.84</w:t>
            </w:r>
          </w:p>
        </w:tc>
        <w:tc>
          <w:tcPr>
            <w:tcW w:w="1166"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69.64</w:t>
            </w:r>
          </w:p>
        </w:tc>
        <w:tc>
          <w:tcPr>
            <w:tcW w:w="1222"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440.48</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房屋及构筑物</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49.30</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8.55</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57.85</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通用设备</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298.02</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53.69</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351.71</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专用设备</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2.33</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1.14</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3.47</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文物和陈列品</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图书、档案</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家具、用具、装具及动植物</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21.19</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6.26</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27.45</w:t>
            </w:r>
          </w:p>
        </w:tc>
      </w:tr>
      <w:tr>
        <w:tblPrEx>
          <w:tblCellMar>
            <w:top w:w="0" w:type="dxa"/>
            <w:left w:w="108" w:type="dxa"/>
            <w:bottom w:w="0" w:type="dxa"/>
            <w:right w:w="108" w:type="dxa"/>
          </w:tblCellMar>
        </w:tblPrEx>
        <w:trPr>
          <w:trHeight w:val="455" w:hRule="atLeast"/>
          <w:jc w:val="center"/>
        </w:trPr>
        <w:tc>
          <w:tcPr>
            <w:tcW w:w="3545" w:type="dxa"/>
            <w:tcBorders>
              <w:top w:val="single" w:color="auto" w:sz="4" w:space="0"/>
            </w:tcBorders>
            <w:shd w:val="clear" w:color="FFFFFF" w:fill="FFFFFF"/>
            <w:vAlign w:val="center"/>
          </w:tcPr>
          <w:p>
            <w:pPr>
              <w:pageBreakBefore w:val="0"/>
              <w:jc w:val="left"/>
              <w:textAlignment w:val="auto"/>
            </w:pPr>
            <w:r>
              <w:rPr>
                <w:b/>
                <w:i w:val="0"/>
                <w:color w:val="000000"/>
                <w:position w:val="-1"/>
                <w:sz w:val="20"/>
                <w:u w:val="none"/>
              </w:rPr>
              <w:t>净值合计</w:t>
            </w:r>
          </w:p>
        </w:tc>
        <w:tc>
          <w:tcPr>
            <w:tcW w:w="1908"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457.05</w:t>
            </w:r>
          </w:p>
        </w:tc>
        <w:tc>
          <w:tcPr>
            <w:tcW w:w="1166"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20.79</w:t>
            </w:r>
          </w:p>
        </w:tc>
        <w:tc>
          <w:tcPr>
            <w:tcW w:w="1222"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69.64</w:t>
            </w:r>
          </w:p>
        </w:tc>
        <w:tc>
          <w:tcPr>
            <w:tcW w:w="1766"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408.20</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房屋及构筑物</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204.79</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8.55</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196.24</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通用设备</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175.02</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15.09</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53.69</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136.42</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专用设备</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7.41</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1.14</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6.27</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文物和陈列品</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3545" w:type="dxa"/>
            <w:shd w:val="clear" w:color="FFFFFF" w:fill="FFFFFF"/>
            <w:vAlign w:val="center"/>
          </w:tcPr>
          <w:p>
            <w:pPr>
              <w:pageBreakBefore w:val="0"/>
              <w:jc w:val="left"/>
              <w:textAlignment w:val="auto"/>
            </w:pPr>
            <w:r>
              <w:rPr>
                <w:b w:val="0"/>
                <w:i w:val="0"/>
                <w:color w:val="000000"/>
                <w:position w:val="-1"/>
                <w:sz w:val="20"/>
                <w:u w:val="none"/>
              </w:rPr>
              <w:t xml:space="preserve">  图书、档案</w:t>
            </w:r>
          </w:p>
        </w:tc>
        <w:tc>
          <w:tcPr>
            <w:tcW w:w="1908"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1.63</w:t>
            </w:r>
          </w:p>
        </w:tc>
        <w:tc>
          <w:tcPr>
            <w:tcW w:w="11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222"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6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1.63</w:t>
            </w:r>
          </w:p>
        </w:tc>
      </w:tr>
      <w:tr>
        <w:tblPrEx>
          <w:tblCellMar>
            <w:top w:w="0" w:type="dxa"/>
            <w:left w:w="108" w:type="dxa"/>
            <w:bottom w:w="0" w:type="dxa"/>
            <w:right w:w="108" w:type="dxa"/>
          </w:tblCellMar>
        </w:tblPrEx>
        <w:trPr>
          <w:trHeight w:val="455" w:hRule="atLeast"/>
          <w:jc w:val="center"/>
        </w:trPr>
        <w:tc>
          <w:tcPr>
            <w:tcW w:w="3545" w:type="dxa"/>
            <w:tcBorders>
              <w:bottom w:val="single" w:color="auto" w:sz="4" w:space="0"/>
            </w:tcBorders>
            <w:shd w:val="clear" w:color="FFFFFF" w:fill="FFFFFF"/>
            <w:vAlign w:val="center"/>
          </w:tcPr>
          <w:p>
            <w:pPr>
              <w:pageBreakBefore w:val="0"/>
              <w:jc w:val="left"/>
              <w:textAlignment w:val="auto"/>
            </w:pPr>
            <w:r>
              <w:rPr>
                <w:b w:val="0"/>
                <w:i w:val="0"/>
                <w:color w:val="000000"/>
                <w:position w:val="-1"/>
                <w:sz w:val="20"/>
                <w:u w:val="none"/>
              </w:rPr>
              <w:t xml:space="preserve">  家具、用具、装具及动植物</w:t>
            </w:r>
          </w:p>
        </w:tc>
        <w:tc>
          <w:tcPr>
            <w:tcW w:w="1908" w:type="dxa"/>
            <w:tcBorders>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68.20</w:t>
            </w:r>
          </w:p>
        </w:tc>
        <w:tc>
          <w:tcPr>
            <w:tcW w:w="1166" w:type="dxa"/>
            <w:tcBorders>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5.70</w:t>
            </w:r>
          </w:p>
        </w:tc>
        <w:tc>
          <w:tcPr>
            <w:tcW w:w="1222" w:type="dxa"/>
            <w:tcBorders>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6.26</w:t>
            </w:r>
          </w:p>
        </w:tc>
        <w:tc>
          <w:tcPr>
            <w:tcW w:w="1766" w:type="dxa"/>
            <w:tcBorders>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67.64</w:t>
            </w:r>
          </w:p>
        </w:tc>
      </w:tr>
    </w:tbl>
    <w:p/>
    <w:p>
      <w:pPr>
        <w:pStyle w:val="111"/>
        <w:ind w:firstLine="600"/>
        <w:outlineLvl w:val="3"/>
        <w:rPr>
          <w:rFonts w:ascii="宋体" w:hAnsi="宋体" w:eastAsia="宋体"/>
        </w:rPr>
      </w:pPr>
      <w:r>
        <w:rPr>
          <w:rFonts w:hint="eastAsia" w:ascii="宋体" w:hAnsi="宋体" w:eastAsia="宋体"/>
        </w:rPr>
        <w:t>（7）在建工程明细信息如下：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附表7</w:t>
            </w:r>
          </w:p>
          <w:p>
            <w:pPr>
              <w:rPr>
                <w:sz w:val="22"/>
                <w:szCs w:val="22"/>
              </w:rPr>
            </w:pP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center"/>
              <w:rPr>
                <w:b/>
                <w:bCs/>
                <w:sz w:val="22"/>
                <w:szCs w:val="22"/>
              </w:rPr>
            </w:pPr>
            <w:r>
              <w:rPr>
                <w:rFonts w:hint="eastAsia"/>
                <w:b/>
                <w:bCs/>
                <w:sz w:val="22"/>
                <w:szCs w:val="22"/>
              </w:rPr>
              <w:t>在建工程明细表</w:t>
            </w: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right"/>
              <w:rPr>
                <w:b/>
                <w:bCs/>
                <w:sz w:val="20"/>
                <w:szCs w:val="20"/>
              </w:rPr>
            </w:pPr>
            <w:r>
              <w:rPr>
                <w:rFonts w:hint="eastAsia"/>
                <w:sz w:val="20"/>
                <w:szCs w:val="20"/>
              </w:rPr>
              <w:t>单位：万元</w:t>
            </w:r>
          </w:p>
        </w:tc>
      </w:tr>
    </w:tbl>
    <w:p>
      <w:pPr>
        <w:spacing w:line="20" w:lineRule="exact"/>
        <w:jc w:val="right"/>
        <w:rPr>
          <w:sz w:val="20"/>
          <w:szCs w:val="20"/>
        </w:rPr>
      </w:pPr>
    </w:p>
    <w:tbl>
      <w:tblPr>
        <w:tblStyle w:val="35"/>
        <w:tblW w:w="9126" w:type="dxa"/>
        <w:jc w:val="center"/>
        <w:tblLayout w:type="fixed"/>
        <w:tblCellMar>
          <w:top w:w="0" w:type="dxa"/>
          <w:left w:w="108" w:type="dxa"/>
          <w:bottom w:w="0" w:type="dxa"/>
          <w:right w:w="108" w:type="dxa"/>
        </w:tblCellMar>
      </w:tblPr>
      <w:tblGrid>
        <w:gridCol w:w="2899"/>
        <w:gridCol w:w="1546"/>
        <w:gridCol w:w="1560"/>
        <w:gridCol w:w="1424"/>
        <w:gridCol w:w="1697"/>
      </w:tblGrid>
      <w:tr>
        <w:tblPrEx>
          <w:tblCellMar>
            <w:top w:w="0" w:type="dxa"/>
            <w:left w:w="108" w:type="dxa"/>
            <w:bottom w:w="0" w:type="dxa"/>
            <w:right w:w="108" w:type="dxa"/>
          </w:tblCellMar>
        </w:tblPrEx>
        <w:trPr>
          <w:trHeight w:val="397" w:hRule="atLeast"/>
          <w:tblHeader/>
          <w:jc w:val="center"/>
        </w:trPr>
        <w:tc>
          <w:tcPr>
            <w:tcW w:w="2899" w:type="dxa"/>
            <w:tcBorders>
              <w:top w:val="single" w:color="auto" w:sz="4" w:space="0"/>
              <w:bottom w:val="single" w:color="auto" w:sz="4" w:space="0"/>
            </w:tcBorders>
            <w:shd w:val="clear" w:color="FFFFFF" w:fill="FFFFFF"/>
            <w:vAlign w:val="center"/>
          </w:tcPr>
          <w:p>
            <w:pPr>
              <w:jc w:val="center"/>
              <w:rPr>
                <w:b/>
                <w:bCs/>
                <w:sz w:val="20"/>
                <w:szCs w:val="20"/>
              </w:rPr>
            </w:pPr>
            <w:r>
              <w:rPr>
                <w:b/>
                <w:bCs/>
                <w:sz w:val="20"/>
                <w:szCs w:val="20"/>
              </w:rPr>
              <w:t>项目</w:t>
            </w:r>
          </w:p>
        </w:tc>
        <w:tc>
          <w:tcPr>
            <w:tcW w:w="1546" w:type="dxa"/>
            <w:tcBorders>
              <w:top w:val="single" w:color="auto" w:sz="4" w:space="0"/>
              <w:bottom w:val="single" w:color="auto" w:sz="4" w:space="0"/>
            </w:tcBorders>
            <w:shd w:val="clear" w:color="FFFFFF" w:fill="FFFFFF"/>
            <w:vAlign w:val="center"/>
          </w:tcPr>
          <w:p>
            <w:pPr>
              <w:jc w:val="center"/>
              <w:rPr>
                <w:b/>
                <w:bCs/>
                <w:sz w:val="20"/>
                <w:szCs w:val="20"/>
              </w:rPr>
            </w:pPr>
            <w:r>
              <w:rPr>
                <w:b/>
                <w:bCs/>
                <w:sz w:val="20"/>
                <w:szCs w:val="20"/>
              </w:rPr>
              <w:t>年初</w:t>
            </w:r>
            <w:r>
              <w:rPr>
                <w:rFonts w:hint="eastAsia"/>
                <w:b/>
                <w:bCs/>
                <w:sz w:val="20"/>
                <w:szCs w:val="20"/>
              </w:rPr>
              <w:t>数</w:t>
            </w:r>
          </w:p>
        </w:tc>
        <w:tc>
          <w:tcPr>
            <w:tcW w:w="1560" w:type="dxa"/>
            <w:tcBorders>
              <w:top w:val="single" w:color="auto" w:sz="4" w:space="0"/>
              <w:bottom w:val="single" w:color="auto" w:sz="4" w:space="0"/>
            </w:tcBorders>
            <w:shd w:val="clear" w:color="FFFFFF" w:fill="FFFFFF"/>
            <w:vAlign w:val="center"/>
          </w:tcPr>
          <w:p>
            <w:pPr>
              <w:jc w:val="center"/>
              <w:rPr>
                <w:b/>
                <w:bCs/>
                <w:sz w:val="20"/>
                <w:szCs w:val="20"/>
              </w:rPr>
            </w:pPr>
            <w:r>
              <w:rPr>
                <w:b/>
                <w:bCs/>
                <w:sz w:val="20"/>
                <w:szCs w:val="20"/>
              </w:rPr>
              <w:t>本</w:t>
            </w:r>
            <w:r>
              <w:rPr>
                <w:rFonts w:hint="eastAsia"/>
                <w:b/>
                <w:bCs/>
                <w:sz w:val="20"/>
                <w:szCs w:val="20"/>
              </w:rPr>
              <w:t>年</w:t>
            </w:r>
            <w:r>
              <w:rPr>
                <w:b/>
                <w:bCs/>
                <w:sz w:val="20"/>
                <w:szCs w:val="20"/>
              </w:rPr>
              <w:t>增加</w:t>
            </w:r>
          </w:p>
        </w:tc>
        <w:tc>
          <w:tcPr>
            <w:tcW w:w="1424" w:type="dxa"/>
            <w:tcBorders>
              <w:top w:val="single" w:color="auto" w:sz="4" w:space="0"/>
              <w:bottom w:val="single" w:color="auto" w:sz="4" w:space="0"/>
            </w:tcBorders>
            <w:shd w:val="clear" w:color="FFFFFF" w:fill="FFFFFF"/>
            <w:vAlign w:val="center"/>
          </w:tcPr>
          <w:p>
            <w:pPr>
              <w:jc w:val="center"/>
              <w:rPr>
                <w:b/>
                <w:bCs/>
                <w:sz w:val="20"/>
                <w:szCs w:val="20"/>
              </w:rPr>
            </w:pPr>
            <w:r>
              <w:rPr>
                <w:b/>
                <w:bCs/>
                <w:sz w:val="20"/>
                <w:szCs w:val="20"/>
              </w:rPr>
              <w:t>本</w:t>
            </w:r>
            <w:r>
              <w:rPr>
                <w:rFonts w:hint="eastAsia"/>
                <w:b/>
                <w:bCs/>
                <w:sz w:val="20"/>
                <w:szCs w:val="20"/>
              </w:rPr>
              <w:t>年</w:t>
            </w:r>
            <w:r>
              <w:rPr>
                <w:b/>
                <w:bCs/>
                <w:sz w:val="20"/>
                <w:szCs w:val="20"/>
              </w:rPr>
              <w:t>减少</w:t>
            </w:r>
          </w:p>
        </w:tc>
        <w:tc>
          <w:tcPr>
            <w:tcW w:w="1697"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年</w:t>
            </w:r>
            <w:r>
              <w:rPr>
                <w:b/>
                <w:bCs/>
                <w:sz w:val="20"/>
                <w:szCs w:val="20"/>
              </w:rPr>
              <w:t>末</w:t>
            </w:r>
            <w:r>
              <w:rPr>
                <w:rFonts w:hint="eastAsia"/>
                <w:b/>
                <w:bCs/>
                <w:sz w:val="20"/>
                <w:szCs w:val="20"/>
              </w:rPr>
              <w:t>数</w:t>
            </w:r>
          </w:p>
        </w:tc>
      </w:tr>
      <w:tr>
        <w:tblPrEx>
          <w:tblCellMar>
            <w:top w:w="0" w:type="dxa"/>
            <w:left w:w="108" w:type="dxa"/>
            <w:bottom w:w="0" w:type="dxa"/>
            <w:right w:w="108" w:type="dxa"/>
          </w:tblCellMar>
        </w:tblPrEx>
        <w:trPr>
          <w:trHeight w:val="20" w:hRule="exact"/>
          <w:tblHeader/>
          <w:jc w:val="center"/>
        </w:trPr>
        <w:tc>
          <w:tcPr>
            <w:tcW w:w="2899" w:type="dxa"/>
            <w:tcBorders>
              <w:top w:val="single" w:color="auto" w:sz="4" w:space="0"/>
            </w:tcBorders>
            <w:shd w:val="clear" w:color="FFFFFF" w:fill="FFFFFF"/>
            <w:vAlign w:val="center"/>
          </w:tcPr>
          <w:p>
            <w:pPr>
              <w:jc w:val="center"/>
              <w:rPr>
                <w:b/>
                <w:bCs/>
                <w:sz w:val="20"/>
                <w:szCs w:val="20"/>
              </w:rPr>
            </w:pPr>
          </w:p>
        </w:tc>
        <w:tc>
          <w:tcPr>
            <w:tcW w:w="1546" w:type="dxa"/>
            <w:tcBorders>
              <w:top w:val="single" w:color="auto" w:sz="4" w:space="0"/>
            </w:tcBorders>
            <w:shd w:val="clear" w:color="FFFFFF" w:fill="FFFFFF"/>
            <w:vAlign w:val="center"/>
          </w:tcPr>
          <w:p>
            <w:pPr>
              <w:jc w:val="center"/>
              <w:rPr>
                <w:b/>
                <w:bCs/>
                <w:sz w:val="20"/>
                <w:szCs w:val="20"/>
              </w:rPr>
            </w:pPr>
          </w:p>
        </w:tc>
        <w:tc>
          <w:tcPr>
            <w:tcW w:w="1560" w:type="dxa"/>
            <w:tcBorders>
              <w:top w:val="single" w:color="auto" w:sz="4" w:space="0"/>
            </w:tcBorders>
            <w:shd w:val="clear" w:color="FFFFFF" w:fill="FFFFFF"/>
            <w:vAlign w:val="center"/>
          </w:tcPr>
          <w:p>
            <w:pPr>
              <w:jc w:val="center"/>
              <w:rPr>
                <w:b/>
                <w:bCs/>
                <w:sz w:val="20"/>
                <w:szCs w:val="20"/>
              </w:rPr>
            </w:pPr>
          </w:p>
        </w:tc>
        <w:tc>
          <w:tcPr>
            <w:tcW w:w="1424" w:type="dxa"/>
            <w:tcBorders>
              <w:top w:val="single" w:color="auto" w:sz="4" w:space="0"/>
            </w:tcBorders>
            <w:shd w:val="clear" w:color="FFFFFF" w:fill="FFFFFF"/>
            <w:vAlign w:val="center"/>
          </w:tcPr>
          <w:p>
            <w:pPr>
              <w:jc w:val="center"/>
              <w:rPr>
                <w:b/>
                <w:bCs/>
                <w:sz w:val="20"/>
                <w:szCs w:val="20"/>
              </w:rPr>
            </w:pPr>
          </w:p>
        </w:tc>
        <w:tc>
          <w:tcPr>
            <w:tcW w:w="1697" w:type="dxa"/>
            <w:tcBorders>
              <w:top w:val="single" w:color="auto" w:sz="4" w:space="0"/>
            </w:tcBorders>
            <w:shd w:val="clear" w:color="FFFFFF" w:fill="FFFFFF"/>
            <w:vAlign w:val="center"/>
          </w:tcPr>
          <w:p>
            <w:pPr>
              <w:jc w:val="center"/>
              <w:rPr>
                <w:b/>
                <w:bCs/>
                <w:sz w:val="20"/>
                <w:szCs w:val="20"/>
              </w:rPr>
            </w:pPr>
          </w:p>
        </w:tc>
      </w:tr>
      <w:tr>
        <w:tblPrEx>
          <w:tblCellMar>
            <w:top w:w="0" w:type="dxa"/>
            <w:left w:w="108" w:type="dxa"/>
            <w:bottom w:w="0" w:type="dxa"/>
            <w:right w:w="108" w:type="dxa"/>
          </w:tblCellMar>
        </w:tblPrEx>
        <w:trPr>
          <w:trHeight w:val="397" w:hRule="atLeast"/>
          <w:jc w:val="center"/>
        </w:trPr>
        <w:tc>
          <w:tcPr>
            <w:tcW w:w="2899" w:type="dxa"/>
            <w:shd w:val="clear" w:color="FFFFFF" w:fill="FFFFFF"/>
            <w:vAlign w:val="center"/>
          </w:tcPr>
          <w:p>
            <w:pPr>
              <w:pageBreakBefore w:val="0"/>
              <w:jc w:val="left"/>
              <w:textAlignment w:val="auto"/>
            </w:pPr>
            <w:r>
              <w:rPr>
                <w:b w:val="0"/>
                <w:i w:val="0"/>
                <w:color w:val="000000"/>
                <w:position w:val="-1"/>
                <w:sz w:val="20"/>
                <w:u w:val="none"/>
              </w:rPr>
              <w:t xml:space="preserve">  建筑工程</w:t>
            </w:r>
          </w:p>
        </w:tc>
        <w:tc>
          <w:tcPr>
            <w:tcW w:w="154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30.00</w:t>
            </w:r>
          </w:p>
        </w:tc>
        <w:tc>
          <w:tcPr>
            <w:tcW w:w="1560"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42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697"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30.00</w:t>
            </w:r>
          </w:p>
        </w:tc>
      </w:tr>
      <w:tr>
        <w:tblPrEx>
          <w:tblCellMar>
            <w:top w:w="0" w:type="dxa"/>
            <w:left w:w="108" w:type="dxa"/>
            <w:bottom w:w="0" w:type="dxa"/>
            <w:right w:w="108" w:type="dxa"/>
          </w:tblCellMar>
        </w:tblPrEx>
        <w:trPr>
          <w:trHeight w:val="397" w:hRule="atLeast"/>
          <w:jc w:val="center"/>
        </w:trPr>
        <w:tc>
          <w:tcPr>
            <w:tcW w:w="2899" w:type="dxa"/>
            <w:shd w:val="clear" w:color="FFFFFF" w:fill="FFFFFF"/>
            <w:vAlign w:val="center"/>
          </w:tcPr>
          <w:p>
            <w:pPr>
              <w:pageBreakBefore w:val="0"/>
              <w:jc w:val="left"/>
              <w:textAlignment w:val="auto"/>
            </w:pPr>
            <w:r>
              <w:rPr>
                <w:b w:val="0"/>
                <w:i w:val="0"/>
                <w:color w:val="000000"/>
                <w:position w:val="-1"/>
                <w:sz w:val="20"/>
                <w:u w:val="none"/>
              </w:rPr>
              <w:t xml:space="preserve">  安装工程</w:t>
            </w:r>
          </w:p>
        </w:tc>
        <w:tc>
          <w:tcPr>
            <w:tcW w:w="154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2.47</w:t>
            </w:r>
          </w:p>
        </w:tc>
        <w:tc>
          <w:tcPr>
            <w:tcW w:w="1560"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42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697"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2.47</w:t>
            </w:r>
          </w:p>
        </w:tc>
      </w:tr>
      <w:tr>
        <w:tblPrEx>
          <w:tblCellMar>
            <w:top w:w="0" w:type="dxa"/>
            <w:left w:w="108" w:type="dxa"/>
            <w:bottom w:w="0" w:type="dxa"/>
            <w:right w:w="108" w:type="dxa"/>
          </w:tblCellMar>
        </w:tblPrEx>
        <w:trPr>
          <w:trHeight w:val="455" w:hRule="atLeast"/>
          <w:jc w:val="center"/>
        </w:trPr>
        <w:tc>
          <w:tcPr>
            <w:tcW w:w="2899" w:type="dxa"/>
            <w:tcBorders>
              <w:top w:val="single" w:color="auto" w:sz="4" w:space="0"/>
              <w:bottom w:val="single" w:color="auto" w:sz="4" w:space="0"/>
            </w:tcBorders>
            <w:shd w:val="clear" w:color="FFFFFF" w:fill="FFFFFF"/>
            <w:vAlign w:val="center"/>
          </w:tcPr>
          <w:p>
            <w:pPr>
              <w:pageBreakBefore w:val="0"/>
              <w:jc w:val="center"/>
              <w:textAlignment w:val="auto"/>
            </w:pPr>
            <w:r>
              <w:rPr>
                <w:b/>
                <w:i w:val="0"/>
                <w:color w:val="000000"/>
                <w:position w:val="-1"/>
                <w:sz w:val="20"/>
                <w:u w:val="none"/>
              </w:rPr>
              <w:t>合计</w:t>
            </w:r>
          </w:p>
        </w:tc>
        <w:tc>
          <w:tcPr>
            <w:tcW w:w="1546" w:type="dxa"/>
            <w:tcBorders>
              <w:top w:val="single" w:color="auto" w:sz="4" w:space="0"/>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32.47</w:t>
            </w:r>
          </w:p>
        </w:tc>
        <w:tc>
          <w:tcPr>
            <w:tcW w:w="1560" w:type="dxa"/>
            <w:tcBorders>
              <w:top w:val="single" w:color="auto" w:sz="4" w:space="0"/>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424" w:type="dxa"/>
            <w:tcBorders>
              <w:top w:val="single" w:color="auto" w:sz="4" w:space="0"/>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697" w:type="dxa"/>
            <w:tcBorders>
              <w:top w:val="single" w:color="auto" w:sz="4" w:space="0"/>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32.47</w:t>
            </w:r>
          </w:p>
        </w:tc>
      </w:tr>
      <w:tr>
        <w:tblPrEx>
          <w:tblCellMar>
            <w:top w:w="0" w:type="dxa"/>
            <w:left w:w="108" w:type="dxa"/>
            <w:bottom w:w="0" w:type="dxa"/>
            <w:right w:w="108" w:type="dxa"/>
          </w:tblCellMar>
        </w:tblPrEx>
        <w:trPr>
          <w:jc w:val="center"/>
        </w:trPr>
        <w:tc>
          <w:tcPr>
            <w:gridSpan w:val="5"/>
            <w:shd w:val="clear" w:color="FFFFFF" w:fill="FFFFFF"/>
          </w:tcPr>
          <w:p>
            <w:r>
              <w:rPr>
                <w:rFonts w:ascii="宋体" w:hAnsi="宋体" w:eastAsia="宋体" w:cs="宋体"/>
                <w:sz w:val="22"/>
              </w:rPr>
              <w:t>注：本表原则上按照项目金额从大到小列示前 20 项，其余部分合并填入其他项目。</w:t>
            </w:r>
          </w:p>
        </w:tc>
      </w:tr>
    </w:tbl>
    <w:p>
      <w:pPr>
        <w:rPr>
          <w:sz w:val="20"/>
          <w:szCs w:val="20"/>
        </w:rPr>
      </w:pPr>
    </w:p>
    <w:p>
      <w:pPr>
        <w:pStyle w:val="111"/>
        <w:ind w:firstLine="600"/>
        <w:outlineLvl w:val="3"/>
        <w:rPr>
          <w:rFonts w:ascii="宋体" w:hAnsi="宋体" w:eastAsia="宋体"/>
        </w:rPr>
      </w:pPr>
      <w:r>
        <w:rPr>
          <w:rFonts w:hint="eastAsia" w:ascii="宋体" w:hAnsi="宋体" w:eastAsia="宋体"/>
        </w:rPr>
        <w:t>（8）无形资产明细信息如下：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附表8</w:t>
            </w:r>
          </w:p>
          <w:p>
            <w:pPr>
              <w:rPr>
                <w:sz w:val="22"/>
                <w:szCs w:val="22"/>
              </w:rPr>
            </w:pP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center"/>
              <w:rPr>
                <w:b/>
                <w:bCs/>
                <w:sz w:val="22"/>
                <w:szCs w:val="22"/>
              </w:rPr>
            </w:pPr>
            <w:r>
              <w:rPr>
                <w:rFonts w:hint="eastAsia"/>
                <w:b/>
                <w:bCs/>
                <w:sz w:val="22"/>
                <w:szCs w:val="22"/>
              </w:rPr>
              <w:t>无形资产明细表</w:t>
            </w: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right"/>
              <w:rPr>
                <w:b/>
                <w:bCs/>
                <w:sz w:val="20"/>
                <w:szCs w:val="20"/>
              </w:rPr>
            </w:pPr>
            <w:r>
              <w:rPr>
                <w:rFonts w:hint="eastAsia"/>
                <w:sz w:val="20"/>
                <w:szCs w:val="20"/>
              </w:rPr>
              <w:t>单位：万元</w:t>
            </w:r>
          </w:p>
        </w:tc>
      </w:tr>
    </w:tbl>
    <w:p>
      <w:pPr>
        <w:spacing w:line="20" w:lineRule="exact"/>
        <w:jc w:val="right"/>
        <w:rPr>
          <w:sz w:val="20"/>
          <w:szCs w:val="20"/>
        </w:rPr>
      </w:pPr>
    </w:p>
    <w:tbl>
      <w:tblPr>
        <w:tblStyle w:val="35"/>
        <w:tblW w:w="9139" w:type="dxa"/>
        <w:jc w:val="center"/>
        <w:tblLayout w:type="fixed"/>
        <w:tblCellMar>
          <w:top w:w="0" w:type="dxa"/>
          <w:left w:w="108" w:type="dxa"/>
          <w:bottom w:w="0" w:type="dxa"/>
          <w:right w:w="108" w:type="dxa"/>
        </w:tblCellMar>
      </w:tblPr>
      <w:tblGrid>
        <w:gridCol w:w="2894"/>
        <w:gridCol w:w="1656"/>
        <w:gridCol w:w="1529"/>
        <w:gridCol w:w="1354"/>
        <w:gridCol w:w="1706"/>
      </w:tblGrid>
      <w:tr>
        <w:tblPrEx>
          <w:tblCellMar>
            <w:top w:w="0" w:type="dxa"/>
            <w:left w:w="108" w:type="dxa"/>
            <w:bottom w:w="0" w:type="dxa"/>
            <w:right w:w="108" w:type="dxa"/>
          </w:tblCellMar>
        </w:tblPrEx>
        <w:trPr>
          <w:trHeight w:val="397" w:hRule="exact"/>
          <w:tblHeader/>
          <w:jc w:val="center"/>
        </w:trPr>
        <w:tc>
          <w:tcPr>
            <w:tcW w:w="2894" w:type="dxa"/>
            <w:tcBorders>
              <w:top w:val="single" w:color="auto" w:sz="4" w:space="0"/>
              <w:bottom w:val="single" w:color="auto" w:sz="4" w:space="0"/>
            </w:tcBorders>
            <w:shd w:val="clear" w:color="FFFFFF" w:fill="FFFFFF"/>
            <w:vAlign w:val="center"/>
          </w:tcPr>
          <w:p>
            <w:pPr>
              <w:jc w:val="center"/>
              <w:rPr>
                <w:b/>
                <w:bCs/>
                <w:sz w:val="20"/>
                <w:szCs w:val="20"/>
              </w:rPr>
            </w:pPr>
            <w:r>
              <w:rPr>
                <w:rFonts w:hint="eastAsia"/>
                <w:b/>
                <w:bCs/>
                <w:sz w:val="20"/>
                <w:szCs w:val="20"/>
              </w:rPr>
              <w:t>项目</w:t>
            </w:r>
          </w:p>
        </w:tc>
        <w:tc>
          <w:tcPr>
            <w:tcW w:w="1656" w:type="dxa"/>
            <w:tcBorders>
              <w:top w:val="single" w:color="auto" w:sz="4" w:space="0"/>
              <w:bottom w:val="single" w:color="auto" w:sz="4" w:space="0"/>
            </w:tcBorders>
            <w:shd w:val="clear" w:color="FFFFFF" w:fill="FFFFFF"/>
            <w:vAlign w:val="center"/>
          </w:tcPr>
          <w:p>
            <w:pPr>
              <w:jc w:val="center"/>
              <w:rPr>
                <w:b/>
                <w:bCs/>
                <w:sz w:val="20"/>
                <w:szCs w:val="20"/>
              </w:rPr>
            </w:pPr>
            <w:r>
              <w:rPr>
                <w:b/>
                <w:bCs/>
                <w:sz w:val="20"/>
                <w:szCs w:val="20"/>
              </w:rPr>
              <w:t>年初数</w:t>
            </w:r>
          </w:p>
        </w:tc>
        <w:tc>
          <w:tcPr>
            <w:tcW w:w="1529" w:type="dxa"/>
            <w:tcBorders>
              <w:top w:val="single" w:color="auto" w:sz="4" w:space="0"/>
              <w:bottom w:val="single" w:color="auto" w:sz="4" w:space="0"/>
            </w:tcBorders>
            <w:shd w:val="clear" w:color="FFFFFF" w:fill="FFFFFF"/>
            <w:vAlign w:val="center"/>
          </w:tcPr>
          <w:p>
            <w:pPr>
              <w:jc w:val="center"/>
              <w:rPr>
                <w:b/>
                <w:bCs/>
                <w:sz w:val="20"/>
                <w:szCs w:val="20"/>
              </w:rPr>
            </w:pPr>
            <w:r>
              <w:rPr>
                <w:b/>
                <w:bCs/>
                <w:sz w:val="20"/>
                <w:szCs w:val="20"/>
              </w:rPr>
              <w:t>本年增加</w:t>
            </w:r>
          </w:p>
        </w:tc>
        <w:tc>
          <w:tcPr>
            <w:tcW w:w="1354" w:type="dxa"/>
            <w:tcBorders>
              <w:top w:val="single" w:color="auto" w:sz="4" w:space="0"/>
              <w:bottom w:val="single" w:color="auto" w:sz="4" w:space="0"/>
            </w:tcBorders>
            <w:shd w:val="clear" w:color="FFFFFF" w:fill="FFFFFF"/>
            <w:vAlign w:val="center"/>
          </w:tcPr>
          <w:p>
            <w:pPr>
              <w:jc w:val="center"/>
              <w:rPr>
                <w:b/>
                <w:bCs/>
                <w:sz w:val="20"/>
                <w:szCs w:val="20"/>
              </w:rPr>
            </w:pPr>
            <w:r>
              <w:rPr>
                <w:b/>
                <w:bCs/>
                <w:sz w:val="20"/>
                <w:szCs w:val="20"/>
              </w:rPr>
              <w:t>本年减少</w:t>
            </w:r>
          </w:p>
        </w:tc>
        <w:tc>
          <w:tcPr>
            <w:tcW w:w="1706" w:type="dxa"/>
            <w:tcBorders>
              <w:top w:val="single" w:color="auto" w:sz="4" w:space="0"/>
              <w:bottom w:val="single" w:color="auto" w:sz="4" w:space="0"/>
            </w:tcBorders>
            <w:shd w:val="clear" w:color="FFFFFF" w:fill="FFFFFF"/>
            <w:vAlign w:val="center"/>
          </w:tcPr>
          <w:p>
            <w:pPr>
              <w:jc w:val="center"/>
              <w:rPr>
                <w:b/>
                <w:bCs/>
                <w:color w:val="000000"/>
                <w:sz w:val="20"/>
                <w:szCs w:val="20"/>
              </w:rPr>
            </w:pPr>
            <w:r>
              <w:rPr>
                <w:b/>
                <w:bCs/>
                <w:color w:val="000000"/>
                <w:sz w:val="20"/>
                <w:szCs w:val="20"/>
              </w:rPr>
              <w:t>年末数</w:t>
            </w:r>
          </w:p>
        </w:tc>
      </w:tr>
      <w:tr>
        <w:tblPrEx>
          <w:tblCellMar>
            <w:top w:w="0" w:type="dxa"/>
            <w:left w:w="108" w:type="dxa"/>
            <w:bottom w:w="0" w:type="dxa"/>
            <w:right w:w="108" w:type="dxa"/>
          </w:tblCellMar>
        </w:tblPrEx>
        <w:trPr>
          <w:trHeight w:val="20" w:hRule="exact"/>
          <w:tblHeader/>
          <w:jc w:val="center"/>
        </w:trPr>
        <w:tc>
          <w:tcPr>
            <w:tcW w:w="2894" w:type="dxa"/>
            <w:tcBorders>
              <w:top w:val="single" w:color="auto" w:sz="4" w:space="0"/>
            </w:tcBorders>
            <w:shd w:val="clear" w:color="FFFFFF" w:fill="FFFFFF"/>
            <w:vAlign w:val="center"/>
          </w:tcPr>
          <w:p>
            <w:pPr>
              <w:jc w:val="center"/>
              <w:rPr>
                <w:b/>
                <w:bCs/>
                <w:sz w:val="20"/>
                <w:szCs w:val="20"/>
              </w:rPr>
            </w:pPr>
          </w:p>
        </w:tc>
        <w:tc>
          <w:tcPr>
            <w:tcW w:w="1656" w:type="dxa"/>
            <w:tcBorders>
              <w:top w:val="single" w:color="auto" w:sz="4" w:space="0"/>
            </w:tcBorders>
            <w:shd w:val="clear" w:color="FFFFFF" w:fill="FFFFFF"/>
            <w:vAlign w:val="center"/>
          </w:tcPr>
          <w:p>
            <w:pPr>
              <w:jc w:val="center"/>
              <w:rPr>
                <w:b/>
                <w:bCs/>
                <w:sz w:val="20"/>
                <w:szCs w:val="20"/>
              </w:rPr>
            </w:pPr>
          </w:p>
        </w:tc>
        <w:tc>
          <w:tcPr>
            <w:tcW w:w="1529" w:type="dxa"/>
            <w:tcBorders>
              <w:top w:val="single" w:color="auto" w:sz="4" w:space="0"/>
            </w:tcBorders>
            <w:shd w:val="clear" w:color="FFFFFF" w:fill="FFFFFF"/>
            <w:vAlign w:val="center"/>
          </w:tcPr>
          <w:p>
            <w:pPr>
              <w:jc w:val="center"/>
              <w:rPr>
                <w:b/>
                <w:bCs/>
                <w:sz w:val="20"/>
                <w:szCs w:val="20"/>
              </w:rPr>
            </w:pPr>
          </w:p>
        </w:tc>
        <w:tc>
          <w:tcPr>
            <w:tcW w:w="1354" w:type="dxa"/>
            <w:tcBorders>
              <w:top w:val="single" w:color="auto" w:sz="4" w:space="0"/>
            </w:tcBorders>
            <w:shd w:val="clear" w:color="FFFFFF" w:fill="FFFFFF"/>
            <w:vAlign w:val="center"/>
          </w:tcPr>
          <w:p>
            <w:pPr>
              <w:jc w:val="center"/>
              <w:rPr>
                <w:b/>
                <w:bCs/>
                <w:sz w:val="20"/>
                <w:szCs w:val="20"/>
              </w:rPr>
            </w:pPr>
          </w:p>
        </w:tc>
        <w:tc>
          <w:tcPr>
            <w:tcW w:w="1706" w:type="dxa"/>
            <w:tcBorders>
              <w:top w:val="single" w:color="auto" w:sz="4" w:space="0"/>
            </w:tcBorders>
            <w:shd w:val="clear" w:color="FFFFFF" w:fill="FFFFFF"/>
            <w:vAlign w:val="center"/>
          </w:tcPr>
          <w:p>
            <w:pPr>
              <w:jc w:val="center"/>
              <w:rPr>
                <w:b/>
                <w:bCs/>
                <w:color w:val="000000"/>
                <w:sz w:val="20"/>
                <w:szCs w:val="20"/>
              </w:rPr>
            </w:pP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i w:val="0"/>
                <w:color w:val="000000"/>
                <w:position w:val="-1"/>
                <w:sz w:val="20"/>
                <w:u w:val="none"/>
              </w:rPr>
              <w:t>原值合计</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5.71</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5.85</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11.56</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专利权</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非专利技术</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著作权</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资源资质</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商标权</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信息数据</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5.71</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5.85</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11.56</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其他</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455" w:hRule="atLeast"/>
          <w:jc w:val="center"/>
        </w:trPr>
        <w:tc>
          <w:tcPr>
            <w:tcW w:w="2894" w:type="dxa"/>
            <w:tcBorders>
              <w:top w:val="single" w:color="auto" w:sz="4" w:space="0"/>
            </w:tcBorders>
            <w:shd w:val="clear" w:color="FFFFFF" w:fill="FFFFFF"/>
            <w:vAlign w:val="center"/>
          </w:tcPr>
          <w:p>
            <w:pPr>
              <w:pageBreakBefore w:val="0"/>
              <w:jc w:val="left"/>
              <w:textAlignment w:val="auto"/>
            </w:pPr>
            <w:r>
              <w:rPr>
                <w:b/>
                <w:i w:val="0"/>
                <w:color w:val="000000"/>
                <w:position w:val="-1"/>
                <w:sz w:val="20"/>
                <w:u w:val="none"/>
              </w:rPr>
              <w:t>累计摊销合计</w:t>
            </w:r>
          </w:p>
        </w:tc>
        <w:tc>
          <w:tcPr>
            <w:tcW w:w="1656"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0.54</w:t>
            </w:r>
          </w:p>
        </w:tc>
        <w:tc>
          <w:tcPr>
            <w:tcW w:w="1529"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3.10</w:t>
            </w:r>
          </w:p>
        </w:tc>
        <w:tc>
          <w:tcPr>
            <w:tcW w:w="1354"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3.64</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专利权</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非专利技术</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著作权</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资源资质</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商标权</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信息数据</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0.54</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3.10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3.64</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其他</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455" w:hRule="atLeast"/>
          <w:jc w:val="center"/>
        </w:trPr>
        <w:tc>
          <w:tcPr>
            <w:tcW w:w="2894" w:type="dxa"/>
            <w:tcBorders>
              <w:top w:val="single" w:color="auto" w:sz="4" w:space="0"/>
            </w:tcBorders>
            <w:shd w:val="clear" w:color="FFFFFF" w:fill="FFFFFF"/>
            <w:vAlign w:val="center"/>
          </w:tcPr>
          <w:p>
            <w:pPr>
              <w:pageBreakBefore w:val="0"/>
              <w:jc w:val="left"/>
              <w:textAlignment w:val="auto"/>
            </w:pPr>
            <w:r>
              <w:rPr>
                <w:b/>
                <w:i w:val="0"/>
                <w:color w:val="000000"/>
                <w:position w:val="-1"/>
                <w:sz w:val="20"/>
                <w:u w:val="none"/>
              </w:rPr>
              <w:t>净值合计</w:t>
            </w:r>
          </w:p>
        </w:tc>
        <w:tc>
          <w:tcPr>
            <w:tcW w:w="1656"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5.17</w:t>
            </w:r>
          </w:p>
        </w:tc>
        <w:tc>
          <w:tcPr>
            <w:tcW w:w="1529"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5.85</w:t>
            </w:r>
          </w:p>
        </w:tc>
        <w:tc>
          <w:tcPr>
            <w:tcW w:w="1354"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3.10</w:t>
            </w:r>
          </w:p>
        </w:tc>
        <w:tc>
          <w:tcPr>
            <w:tcW w:w="1706" w:type="dxa"/>
            <w:tcBorders>
              <w:top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7.92</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专利权</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非专利技术</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著作权</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资源资质</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商标权</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r>
        <w:tblPrEx>
          <w:tblCellMar>
            <w:top w:w="0" w:type="dxa"/>
            <w:left w:w="108" w:type="dxa"/>
            <w:bottom w:w="0" w:type="dxa"/>
            <w:right w:w="108" w:type="dxa"/>
          </w:tblCellMar>
        </w:tblPrEx>
        <w:trPr>
          <w:trHeight w:val="397" w:hRule="atLeast"/>
          <w:jc w:val="center"/>
        </w:trPr>
        <w:tc>
          <w:tcPr>
            <w:tcW w:w="2894" w:type="dxa"/>
            <w:shd w:val="clear" w:color="FFFFFF" w:fill="FFFFFF"/>
            <w:vAlign w:val="center"/>
          </w:tcPr>
          <w:p>
            <w:pPr>
              <w:pageBreakBefore w:val="0"/>
              <w:jc w:val="left"/>
              <w:textAlignment w:val="auto"/>
            </w:pPr>
            <w:r>
              <w:rPr>
                <w:b w:val="0"/>
                <w:i w:val="0"/>
                <w:color w:val="000000"/>
                <w:position w:val="-1"/>
                <w:sz w:val="20"/>
                <w:u w:val="none"/>
              </w:rPr>
              <w:t xml:space="preserve">  信息数据</w:t>
            </w:r>
          </w:p>
        </w:tc>
        <w:tc>
          <w:tcPr>
            <w:tcW w:w="165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5.17</w:t>
            </w:r>
          </w:p>
        </w:tc>
        <w:tc>
          <w:tcPr>
            <w:tcW w:w="1529"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5.85</w:t>
            </w:r>
          </w:p>
        </w:tc>
        <w:tc>
          <w:tcPr>
            <w:tcW w:w="1354"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3.10</w:t>
            </w:r>
          </w:p>
        </w:tc>
        <w:tc>
          <w:tcPr>
            <w:tcW w:w="1706" w:type="dxa"/>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7.92</w:t>
            </w:r>
          </w:p>
        </w:tc>
      </w:tr>
      <w:tr>
        <w:tblPrEx>
          <w:tblCellMar>
            <w:top w:w="0" w:type="dxa"/>
            <w:left w:w="108" w:type="dxa"/>
            <w:bottom w:w="0" w:type="dxa"/>
            <w:right w:w="108" w:type="dxa"/>
          </w:tblCellMar>
        </w:tblPrEx>
        <w:trPr>
          <w:trHeight w:val="455" w:hRule="atLeast"/>
          <w:jc w:val="center"/>
        </w:trPr>
        <w:tc>
          <w:tcPr>
            <w:tcW w:w="2894" w:type="dxa"/>
            <w:tcBorders>
              <w:bottom w:val="single" w:color="auto" w:sz="4" w:space="0"/>
            </w:tcBorders>
            <w:shd w:val="clear" w:color="FFFFFF" w:fill="FFFFFF"/>
            <w:vAlign w:val="center"/>
          </w:tcPr>
          <w:p>
            <w:pPr>
              <w:pageBreakBefore w:val="0"/>
              <w:jc w:val="left"/>
              <w:textAlignment w:val="auto"/>
            </w:pPr>
            <w:r>
              <w:rPr>
                <w:b w:val="0"/>
                <w:i w:val="0"/>
                <w:color w:val="000000"/>
                <w:position w:val="-1"/>
                <w:sz w:val="20"/>
                <w:u w:val="none"/>
              </w:rPr>
              <w:t xml:space="preserve">  其他</w:t>
            </w:r>
          </w:p>
        </w:tc>
        <w:tc>
          <w:tcPr>
            <w:tcW w:w="1656" w:type="dxa"/>
            <w:tcBorders>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529" w:type="dxa"/>
            <w:tcBorders>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354" w:type="dxa"/>
            <w:tcBorders>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c>
          <w:tcPr>
            <w:tcW w:w="1706" w:type="dxa"/>
            <w:tcBorders>
              <w:bottom w:val="single" w:color="auto" w:sz="4" w:space="0"/>
            </w:tcBorders>
            <w:shd w:val="clear" w:color="FFFFFF" w:fill="FFFFFF"/>
            <w:vAlign w:val="center"/>
          </w:tcPr>
          <w:p>
            <w:pPr>
              <w:pageBreakBefore w:val="0"/>
              <w:jc w:val="right"/>
              <w:textAlignment w:val="auto"/>
            </w:pPr>
            <w:r>
              <w:rPr>
                <w:rFonts w:ascii="Times New Roman" w:hAnsi="Times New Roman" w:eastAsia="Times New Roman" w:cs="Times New Roman"/>
                <w:b w:val="0"/>
                <w:i w:val="0"/>
                <w:color w:val="000000"/>
                <w:position w:val="-1"/>
                <w:sz w:val="20"/>
                <w:u w:val="none"/>
              </w:rPr>
              <w:t>0.00</w:t>
            </w:r>
          </w:p>
        </w:tc>
      </w:tr>
    </w:tbl>
    <w:p>
      <w:bookmarkStart w:id="67" w:name="RANGE!A1:D22"/>
      <w:bookmarkEnd w:id="67"/>
    </w:p>
    <w:p>
      <w:pPr>
        <w:pStyle w:val="111"/>
        <w:ind w:firstLine="600"/>
        <w:outlineLvl w:val="3"/>
        <w:rPr>
          <w:rFonts w:ascii="宋体" w:hAnsi="宋体" w:eastAsia="宋体"/>
        </w:rPr>
      </w:pPr>
      <w:r>
        <w:rPr>
          <w:rFonts w:hint="eastAsia" w:ascii="宋体" w:hAnsi="宋体" w:eastAsia="宋体"/>
        </w:rPr>
        <w:t>（9）公共基础设施明细信息如下：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附表9</w:t>
            </w:r>
            <w:r>
              <w:rPr>
                <w:sz w:val="22"/>
                <w:szCs w:val="22"/>
              </w:rPr>
              <w:t>-1</w:t>
            </w:r>
          </w:p>
          <w:p>
            <w:pPr>
              <w:jc w:val="center"/>
              <w:rPr>
                <w:sz w:val="22"/>
                <w:szCs w:val="22"/>
              </w:rPr>
            </w:pPr>
            <w:r>
              <w:rPr>
                <w:rFonts w:ascii="宋体" w:hAnsi="宋体" w:eastAsia="宋体" w:cs="宋体"/>
                <w:sz w:val="22"/>
              </w:rPr>
              <w:t>附表9-1为空表（略）</w:t>
            </w:r>
          </w:p>
        </w:tc>
      </w:tr>
    </w:tbl>
    <w:p>
      <w:pPr>
        <w:spacing w:line="20" w:lineRule="exact"/>
        <w:jc w:val="right"/>
        <w:rPr>
          <w:b/>
          <w:sz w:val="20"/>
          <w:szCs w:val="20"/>
        </w:rPr>
      </w:pPr>
    </w:p>
    <w:p>
      <w:pPr>
        <w:rPr>
          <w:sz w:val="20"/>
          <w:szCs w:val="20"/>
        </w:rPr>
      </w:pP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附表9</w:t>
            </w:r>
            <w:r>
              <w:rPr>
                <w:sz w:val="22"/>
                <w:szCs w:val="22"/>
              </w:rPr>
              <w:t>-2</w:t>
            </w:r>
          </w:p>
          <w:p>
            <w:pPr>
              <w:jc w:val="center"/>
              <w:rPr>
                <w:sz w:val="22"/>
                <w:szCs w:val="22"/>
              </w:rPr>
            </w:pPr>
            <w:r>
              <w:rPr>
                <w:rFonts w:ascii="宋体" w:hAnsi="宋体" w:eastAsia="宋体" w:cs="宋体"/>
                <w:sz w:val="22"/>
              </w:rPr>
              <w:t>附表9-2为空表（略）</w:t>
            </w:r>
          </w:p>
        </w:tc>
      </w:tr>
    </w:tbl>
    <w:p>
      <w:pPr>
        <w:spacing w:line="20" w:lineRule="exact"/>
        <w:jc w:val="right"/>
        <w:rPr>
          <w:b/>
          <w:sz w:val="20"/>
          <w:szCs w:val="20"/>
        </w:rPr>
      </w:pPr>
    </w:p>
    <w:p>
      <w:pPr>
        <w:rPr>
          <w:sz w:val="20"/>
          <w:szCs w:val="20"/>
        </w:rPr>
      </w:pP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附表9</w:t>
            </w:r>
            <w:r>
              <w:rPr>
                <w:sz w:val="22"/>
                <w:szCs w:val="22"/>
              </w:rPr>
              <w:t>-3</w:t>
            </w:r>
          </w:p>
          <w:p>
            <w:pPr>
              <w:jc w:val="center"/>
              <w:rPr>
                <w:sz w:val="22"/>
                <w:szCs w:val="22"/>
              </w:rPr>
            </w:pPr>
            <w:r>
              <w:rPr>
                <w:rFonts w:ascii="宋体" w:hAnsi="宋体" w:eastAsia="宋体" w:cs="宋体"/>
                <w:sz w:val="22"/>
              </w:rPr>
              <w:t>附表9-3为空表（略）</w:t>
            </w:r>
          </w:p>
        </w:tc>
      </w:tr>
    </w:tbl>
    <w:p>
      <w:pPr>
        <w:spacing w:line="20" w:lineRule="exact"/>
        <w:jc w:val="right"/>
        <w:rPr>
          <w:b/>
          <w:sz w:val="20"/>
          <w:szCs w:val="20"/>
        </w:rPr>
      </w:pPr>
    </w:p>
    <w:p/>
    <w:p>
      <w:pPr>
        <w:pStyle w:val="111"/>
        <w:ind w:firstLine="600"/>
        <w:outlineLvl w:val="3"/>
        <w:rPr>
          <w:rFonts w:ascii="宋体" w:hAnsi="宋体" w:eastAsia="宋体"/>
        </w:rPr>
      </w:pPr>
      <w:r>
        <w:rPr>
          <w:rFonts w:hint="eastAsia" w:ascii="宋体" w:hAnsi="宋体" w:eastAsia="宋体"/>
        </w:rPr>
        <w:t>（10）政府储备物资明细信息如下：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附表10</w:t>
            </w:r>
          </w:p>
          <w:p>
            <w:pPr>
              <w:jc w:val="center"/>
              <w:rPr>
                <w:sz w:val="22"/>
                <w:szCs w:val="22"/>
              </w:rPr>
            </w:pPr>
            <w:r>
              <w:rPr>
                <w:rFonts w:ascii="宋体" w:hAnsi="宋体" w:eastAsia="宋体" w:cs="宋体"/>
                <w:sz w:val="22"/>
              </w:rPr>
              <w:t>附表10为空表（略）</w:t>
            </w:r>
          </w:p>
        </w:tc>
      </w:tr>
    </w:tbl>
    <w:p>
      <w:pPr>
        <w:spacing w:line="20" w:lineRule="exact"/>
        <w:jc w:val="right"/>
        <w:rPr>
          <w:b/>
          <w:sz w:val="20"/>
          <w:szCs w:val="20"/>
        </w:rPr>
      </w:pPr>
    </w:p>
    <w:p/>
    <w:p/>
    <w:p>
      <w:pPr>
        <w:pStyle w:val="111"/>
        <w:ind w:firstLine="600"/>
        <w:outlineLvl w:val="3"/>
        <w:rPr>
          <w:rFonts w:ascii="宋体" w:hAnsi="宋体" w:eastAsia="宋体"/>
        </w:rPr>
      </w:pPr>
      <w:r>
        <w:rPr>
          <w:rFonts w:hint="eastAsia" w:ascii="宋体" w:hAnsi="宋体" w:eastAsia="宋体"/>
        </w:rPr>
        <w:t>（11）保障性住房明细信息如下：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w:t>
            </w:r>
            <w:r>
              <w:rPr>
                <w:sz w:val="22"/>
                <w:szCs w:val="22"/>
              </w:rPr>
              <w:t>1</w:t>
            </w:r>
            <w:r>
              <w:rPr>
                <w:rFonts w:hint="eastAsia"/>
                <w:sz w:val="22"/>
                <w:szCs w:val="22"/>
              </w:rPr>
              <w:t>1</w:t>
            </w:r>
          </w:p>
          <w:p>
            <w:pPr>
              <w:jc w:val="center"/>
              <w:rPr>
                <w:sz w:val="22"/>
                <w:szCs w:val="22"/>
              </w:rPr>
            </w:pPr>
            <w:r>
              <w:rPr>
                <w:rFonts w:ascii="宋体" w:hAnsi="宋体" w:eastAsia="宋体" w:cs="宋体"/>
                <w:sz w:val="22"/>
              </w:rPr>
              <w:t>附表11为空表（略）</w:t>
            </w:r>
          </w:p>
        </w:tc>
      </w:tr>
    </w:tbl>
    <w:p>
      <w:pPr>
        <w:spacing w:line="20" w:lineRule="exact"/>
        <w:jc w:val="right"/>
        <w:rPr>
          <w:b/>
          <w:sz w:val="20"/>
          <w:szCs w:val="20"/>
        </w:rPr>
      </w:pPr>
    </w:p>
    <w:p>
      <w:pPr>
        <w:rPr>
          <w:sz w:val="20"/>
          <w:szCs w:val="20"/>
        </w:rPr>
      </w:pPr>
    </w:p>
    <w:p>
      <w:pPr>
        <w:pStyle w:val="111"/>
        <w:ind w:firstLine="600"/>
        <w:outlineLvl w:val="3"/>
        <w:rPr>
          <w:rFonts w:ascii="宋体" w:hAnsi="宋体" w:eastAsia="宋体"/>
        </w:rPr>
      </w:pPr>
      <w:r>
        <w:rPr>
          <w:rFonts w:hint="eastAsia" w:ascii="宋体" w:hAnsi="宋体" w:eastAsia="宋体"/>
        </w:rPr>
        <w:t>（12）应付账款明细信息如下：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w:t>
            </w:r>
            <w:r>
              <w:rPr>
                <w:sz w:val="22"/>
                <w:szCs w:val="22"/>
              </w:rPr>
              <w:t>1</w:t>
            </w:r>
            <w:r>
              <w:rPr>
                <w:rFonts w:hint="eastAsia"/>
                <w:sz w:val="22"/>
                <w:szCs w:val="22"/>
              </w:rPr>
              <w:t>2</w:t>
            </w:r>
          </w:p>
          <w:p>
            <w:pPr>
              <w:jc w:val="center"/>
              <w:rPr>
                <w:sz w:val="22"/>
                <w:szCs w:val="22"/>
              </w:rPr>
            </w:pPr>
            <w:r>
              <w:rPr>
                <w:rFonts w:ascii="宋体" w:hAnsi="宋体" w:eastAsia="宋体" w:cs="宋体"/>
                <w:sz w:val="22"/>
              </w:rPr>
              <w:t>附表12为空表（略）</w:t>
            </w:r>
          </w:p>
        </w:tc>
      </w:tr>
    </w:tbl>
    <w:p>
      <w:pPr>
        <w:spacing w:line="20" w:lineRule="exact"/>
        <w:jc w:val="right"/>
        <w:rPr>
          <w:sz w:val="20"/>
          <w:szCs w:val="20"/>
        </w:rPr>
      </w:pPr>
    </w:p>
    <w:p>
      <w:pPr>
        <w:rPr>
          <w:sz w:val="22"/>
          <w:szCs w:val="22"/>
        </w:rPr>
      </w:pPr>
    </w:p>
    <w:p>
      <w:pPr>
        <w:pStyle w:val="111"/>
        <w:ind w:firstLine="600"/>
        <w:outlineLvl w:val="3"/>
        <w:rPr>
          <w:rFonts w:ascii="宋体" w:hAnsi="宋体" w:eastAsia="宋体"/>
        </w:rPr>
      </w:pPr>
      <w:r>
        <w:rPr>
          <w:rFonts w:hint="eastAsia" w:ascii="宋体" w:hAnsi="宋体" w:eastAsia="宋体"/>
        </w:rPr>
        <w:t>（</w:t>
      </w:r>
      <w:r>
        <w:rPr>
          <w:rFonts w:ascii="宋体" w:hAnsi="宋体" w:eastAsia="宋体"/>
        </w:rPr>
        <w:t>1</w:t>
      </w:r>
      <w:r>
        <w:rPr>
          <w:rFonts w:hint="eastAsia" w:ascii="宋体" w:hAnsi="宋体" w:eastAsia="宋体"/>
        </w:rPr>
        <w:t>3）预收账款明细信息如下：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w:t>
            </w:r>
            <w:r>
              <w:rPr>
                <w:sz w:val="22"/>
                <w:szCs w:val="22"/>
              </w:rPr>
              <w:t>1</w:t>
            </w:r>
            <w:r>
              <w:rPr>
                <w:rFonts w:hint="eastAsia"/>
                <w:sz w:val="22"/>
                <w:szCs w:val="22"/>
              </w:rPr>
              <w:t>3</w:t>
            </w:r>
          </w:p>
          <w:p>
            <w:pPr>
              <w:jc w:val="center"/>
              <w:rPr>
                <w:sz w:val="22"/>
                <w:szCs w:val="22"/>
              </w:rPr>
            </w:pPr>
            <w:r>
              <w:rPr>
                <w:rFonts w:ascii="宋体" w:hAnsi="宋体" w:eastAsia="宋体" w:cs="宋体"/>
                <w:sz w:val="22"/>
              </w:rPr>
              <w:t>附表13为空表（略）</w:t>
            </w:r>
          </w:p>
        </w:tc>
      </w:tr>
    </w:tbl>
    <w:p>
      <w:pPr>
        <w:spacing w:line="20" w:lineRule="exact"/>
        <w:jc w:val="right"/>
        <w:rPr>
          <w:sz w:val="20"/>
          <w:szCs w:val="20"/>
        </w:rPr>
      </w:pPr>
    </w:p>
    <w:p>
      <w:pPr>
        <w:rPr>
          <w:sz w:val="22"/>
          <w:szCs w:val="22"/>
        </w:rPr>
      </w:pPr>
    </w:p>
    <w:p>
      <w:pPr>
        <w:pStyle w:val="111"/>
        <w:ind w:firstLine="600"/>
        <w:outlineLvl w:val="3"/>
        <w:rPr>
          <w:rFonts w:ascii="宋体" w:hAnsi="宋体" w:eastAsia="宋体"/>
        </w:rPr>
      </w:pPr>
      <w:r>
        <w:rPr>
          <w:rFonts w:hint="eastAsia" w:ascii="宋体" w:hAnsi="宋体" w:eastAsia="宋体"/>
        </w:rPr>
        <w:t>（</w:t>
      </w:r>
      <w:r>
        <w:rPr>
          <w:rFonts w:ascii="宋体" w:hAnsi="宋体" w:eastAsia="宋体"/>
        </w:rPr>
        <w:t>1</w:t>
      </w:r>
      <w:r>
        <w:rPr>
          <w:rFonts w:hint="eastAsia" w:ascii="宋体" w:hAnsi="宋体" w:eastAsia="宋体"/>
        </w:rPr>
        <w:t>4）其他应付款明细信息如下：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w:t>
            </w:r>
            <w:r>
              <w:rPr>
                <w:sz w:val="22"/>
                <w:szCs w:val="22"/>
              </w:rPr>
              <w:t>1</w:t>
            </w:r>
            <w:r>
              <w:rPr>
                <w:rFonts w:hint="eastAsia"/>
                <w:sz w:val="22"/>
                <w:szCs w:val="22"/>
              </w:rPr>
              <w:t>4</w:t>
            </w:r>
          </w:p>
          <w:p>
            <w:pPr>
              <w:rPr>
                <w:sz w:val="22"/>
                <w:szCs w:val="22"/>
              </w:rPr>
            </w:pP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center"/>
              <w:rPr>
                <w:b/>
                <w:bCs/>
                <w:sz w:val="22"/>
                <w:szCs w:val="22"/>
              </w:rPr>
            </w:pPr>
            <w:r>
              <w:rPr>
                <w:rFonts w:hint="eastAsia"/>
                <w:b/>
                <w:bCs/>
                <w:sz w:val="22"/>
                <w:szCs w:val="22"/>
              </w:rPr>
              <w:t>其他应付款明细表</w:t>
            </w: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right"/>
              <w:rPr>
                <w:b/>
                <w:bCs/>
                <w:sz w:val="20"/>
                <w:szCs w:val="20"/>
              </w:rPr>
            </w:pPr>
            <w:r>
              <w:rPr>
                <w:rFonts w:hint="eastAsia"/>
                <w:sz w:val="20"/>
                <w:szCs w:val="20"/>
              </w:rPr>
              <w:t>单位：万元</w:t>
            </w:r>
          </w:p>
        </w:tc>
      </w:tr>
    </w:tbl>
    <w:p>
      <w:pPr>
        <w:spacing w:line="20" w:lineRule="exact"/>
        <w:jc w:val="right"/>
        <w:rPr>
          <w:sz w:val="20"/>
          <w:szCs w:val="20"/>
        </w:rPr>
      </w:pPr>
    </w:p>
    <w:tbl>
      <w:tblPr>
        <w:tblStyle w:val="36"/>
        <w:tblW w:w="85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64"/>
        <w:gridCol w:w="42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4" w:type="dxa"/>
            <w:tcBorders>
              <w:top w:val="single" w:color="auto" w:sz="4" w:space="0"/>
              <w:bottom w:val="single" w:color="auto" w:sz="4" w:space="0"/>
            </w:tcBorders>
            <w:shd w:val="clear" w:color="FFFFFF" w:fill="FFFFFF"/>
            <w:vAlign w:val="center"/>
          </w:tcPr>
          <w:p>
            <w:pPr>
              <w:widowControl w:val="0"/>
              <w:jc w:val="center"/>
              <w:rPr>
                <w:sz w:val="22"/>
                <w:szCs w:val="22"/>
              </w:rPr>
            </w:pPr>
            <w:r>
              <w:rPr>
                <w:rFonts w:hint="eastAsia"/>
                <w:b/>
                <w:bCs/>
                <w:sz w:val="20"/>
                <w:szCs w:val="20"/>
              </w:rPr>
              <w:t>债权人</w:t>
            </w:r>
          </w:p>
        </w:tc>
        <w:tc>
          <w:tcPr>
            <w:tcW w:w="4264" w:type="dxa"/>
            <w:tcBorders>
              <w:top w:val="single" w:color="auto" w:sz="4" w:space="0"/>
              <w:bottom w:val="single" w:color="auto" w:sz="4" w:space="0"/>
            </w:tcBorders>
            <w:shd w:val="clear" w:color="FFFFFF" w:fill="FFFFFF"/>
            <w:vAlign w:val="center"/>
          </w:tcPr>
          <w:p>
            <w:pPr>
              <w:widowControl w:val="0"/>
              <w:jc w:val="center"/>
              <w:rPr>
                <w:sz w:val="22"/>
                <w:szCs w:val="22"/>
              </w:rPr>
            </w:pPr>
            <w:r>
              <w:rPr>
                <w:rFonts w:hint="eastAsia"/>
                <w:b/>
                <w:bCs/>
                <w:sz w:val="20"/>
                <w:szCs w:val="20"/>
              </w:rPr>
              <w:t>年末数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exact"/>
        </w:trPr>
        <w:tc>
          <w:tcPr>
            <w:tcW w:w="4264" w:type="dxa"/>
            <w:tcBorders>
              <w:top w:val="single" w:color="auto" w:sz="4" w:space="0"/>
            </w:tcBorders>
            <w:shd w:val="clear" w:color="FFFFFF" w:fill="FFFFFF"/>
          </w:tcPr>
          <w:p>
            <w:pPr>
              <w:widowControl w:val="0"/>
              <w:jc w:val="both"/>
              <w:rPr>
                <w:sz w:val="22"/>
                <w:szCs w:val="22"/>
              </w:rPr>
            </w:pPr>
          </w:p>
        </w:tc>
        <w:tc>
          <w:tcPr>
            <w:tcW w:w="4264" w:type="dxa"/>
            <w:tcBorders>
              <w:top w:val="single" w:color="auto" w:sz="4" w:space="0"/>
            </w:tcBorders>
            <w:shd w:val="clear" w:color="FFFFFF" w:fill="FFFFFF"/>
          </w:tcPr>
          <w:p>
            <w:pPr>
              <w:widowControl w:val="0"/>
              <w:jc w:val="both"/>
              <w:rPr>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64" w:type="dxa"/>
            <w:shd w:val="clear" w:color="FFFFFF" w:fill="FFFFFF"/>
          </w:tcPr>
          <w:p>
            <w:pPr>
              <w:pageBreakBefore w:val="0"/>
              <w:widowControl w:val="0"/>
              <w:jc w:val="left"/>
              <w:textAlignment w:val="auto"/>
            </w:pPr>
            <w:r>
              <w:rPr>
                <w:b/>
                <w:i w:val="0"/>
                <w:color w:val="auto"/>
                <w:position w:val="-1"/>
                <w:sz w:val="20"/>
                <w:u w:val="none"/>
              </w:rPr>
              <w:t>应付本部门内部单位</w:t>
            </w:r>
          </w:p>
        </w:tc>
        <w:tc>
          <w:tcPr>
            <w:tcW w:w="4264"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64" w:type="dxa"/>
            <w:shd w:val="clear" w:color="FFFFFF" w:fill="FFFFFF"/>
          </w:tcPr>
          <w:p>
            <w:pPr>
              <w:pageBreakBefore w:val="0"/>
              <w:widowControl w:val="0"/>
              <w:jc w:val="left"/>
              <w:textAlignment w:val="auto"/>
            </w:pPr>
            <w:r>
              <w:rPr>
                <w:b/>
                <w:i w:val="0"/>
                <w:color w:val="auto"/>
                <w:position w:val="-1"/>
                <w:sz w:val="20"/>
                <w:u w:val="none"/>
              </w:rPr>
              <w:t>应付本部门以外的同级政府单位</w:t>
            </w:r>
          </w:p>
        </w:tc>
        <w:tc>
          <w:tcPr>
            <w:tcW w:w="4264" w:type="dxa"/>
            <w:shd w:val="clear" w:color="FFFFFF" w:fill="FFFFFF"/>
          </w:tcPr>
          <w:p>
            <w:pPr>
              <w:pageBreakBefore w:val="0"/>
              <w:widowControl w:val="0"/>
              <w:jc w:val="right"/>
              <w:textAlignment w:val="auto"/>
            </w:pPr>
            <w:r>
              <w:rPr>
                <w:b w:val="0"/>
                <w:i w:val="0"/>
                <w:color w:val="auto"/>
                <w:position w:val="-1"/>
                <w:sz w:val="20"/>
                <w:u w:val="none"/>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64" w:type="dxa"/>
            <w:shd w:val="clear" w:color="FFFFFF" w:fill="FFFFFF"/>
          </w:tcPr>
          <w:p>
            <w:pPr>
              <w:pageBreakBefore w:val="0"/>
              <w:widowControl w:val="0"/>
              <w:jc w:val="left"/>
              <w:textAlignment w:val="auto"/>
            </w:pPr>
            <w:r>
              <w:rPr>
                <w:b w:val="0"/>
                <w:i w:val="0"/>
                <w:color w:val="auto"/>
                <w:position w:val="-1"/>
                <w:sz w:val="20"/>
                <w:u w:val="none"/>
              </w:rPr>
              <w:t xml:space="preserve">  内蒙古自治区巴彦淖尔市临河区新华镇人民政府</w:t>
            </w:r>
          </w:p>
        </w:tc>
        <w:tc>
          <w:tcPr>
            <w:tcW w:w="4264" w:type="dxa"/>
            <w:shd w:val="clear" w:color="FFFFFF" w:fill="FFFFFF"/>
          </w:tcPr>
          <w:p>
            <w:pPr>
              <w:pageBreakBefore w:val="0"/>
              <w:widowControl w:val="0"/>
              <w:jc w:val="right"/>
              <w:textAlignment w:val="auto"/>
            </w:pPr>
            <w:r>
              <w:rPr>
                <w:b w:val="0"/>
                <w:i w:val="0"/>
                <w:color w:val="auto"/>
                <w:position w:val="-1"/>
                <w:sz w:val="20"/>
                <w:u w:val="none"/>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64" w:type="dxa"/>
            <w:shd w:val="clear" w:color="FFFFFF" w:fill="FFFFFF"/>
          </w:tcPr>
          <w:p>
            <w:pPr>
              <w:pageBreakBefore w:val="0"/>
              <w:widowControl w:val="0"/>
              <w:jc w:val="left"/>
              <w:textAlignment w:val="auto"/>
            </w:pPr>
            <w:r>
              <w:rPr>
                <w:b/>
                <w:i w:val="0"/>
                <w:color w:val="auto"/>
                <w:position w:val="-1"/>
                <w:sz w:val="20"/>
                <w:u w:val="none"/>
              </w:rPr>
              <w:t>应付本部门以外的非同级政府单位</w:t>
            </w:r>
          </w:p>
        </w:tc>
        <w:tc>
          <w:tcPr>
            <w:tcW w:w="4264"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64" w:type="dxa"/>
            <w:shd w:val="clear" w:color="FFFFFF" w:fill="FFFFFF"/>
          </w:tcPr>
          <w:p>
            <w:pPr>
              <w:pageBreakBefore w:val="0"/>
              <w:widowControl w:val="0"/>
              <w:jc w:val="left"/>
              <w:textAlignment w:val="auto"/>
            </w:pPr>
            <w:r>
              <w:rPr>
                <w:b/>
                <w:i w:val="0"/>
                <w:color w:val="auto"/>
                <w:position w:val="-1"/>
                <w:sz w:val="20"/>
                <w:u w:val="none"/>
              </w:rPr>
              <w:t>应付同级财政</w:t>
            </w:r>
          </w:p>
        </w:tc>
        <w:tc>
          <w:tcPr>
            <w:tcW w:w="4264"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64" w:type="dxa"/>
            <w:shd w:val="clear" w:color="FFFFFF" w:fill="FFFFFF"/>
          </w:tcPr>
          <w:p>
            <w:pPr>
              <w:pageBreakBefore w:val="0"/>
              <w:widowControl w:val="0"/>
              <w:jc w:val="left"/>
              <w:textAlignment w:val="auto"/>
            </w:pPr>
            <w:r>
              <w:rPr>
                <w:b/>
                <w:i w:val="0"/>
                <w:color w:val="auto"/>
                <w:position w:val="-1"/>
                <w:sz w:val="20"/>
                <w:u w:val="none"/>
              </w:rPr>
              <w:t>应付其他单位</w:t>
            </w:r>
          </w:p>
        </w:tc>
        <w:tc>
          <w:tcPr>
            <w:tcW w:w="4264" w:type="dxa"/>
            <w:shd w:val="clear" w:color="FFFFFF" w:fill="FFFFFF"/>
          </w:tcPr>
          <w:p>
            <w:pPr>
              <w:pageBreakBefore w:val="0"/>
              <w:widowControl w:val="0"/>
              <w:jc w:val="right"/>
              <w:textAlignment w:val="auto"/>
            </w:pPr>
            <w:r>
              <w:rPr>
                <w:b w:val="0"/>
                <w:i w:val="0"/>
                <w:color w:val="auto"/>
                <w:position w:val="-1"/>
                <w:sz w:val="20"/>
                <w:u w:val="none"/>
              </w:rPr>
              <w:t>17.83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4264" w:type="dxa"/>
            <w:tcBorders>
              <w:top w:val="single" w:color="auto" w:sz="4" w:space="0"/>
              <w:bottom w:val="single" w:color="auto" w:sz="4" w:space="0"/>
            </w:tcBorders>
            <w:shd w:val="clear" w:color="FFFFFF" w:fill="FFFFFF"/>
          </w:tcPr>
          <w:p>
            <w:pPr>
              <w:pageBreakBefore w:val="0"/>
              <w:widowControl w:val="0"/>
              <w:jc w:val="center"/>
              <w:textAlignment w:val="auto"/>
            </w:pPr>
            <w:r>
              <w:rPr>
                <w:b/>
                <w:i w:val="0"/>
                <w:color w:val="auto"/>
                <w:position w:val="-1"/>
                <w:sz w:val="20"/>
                <w:u w:val="none"/>
              </w:rPr>
              <w:t>合计</w:t>
            </w:r>
          </w:p>
        </w:tc>
        <w:tc>
          <w:tcPr>
            <w:tcW w:w="4264" w:type="dxa"/>
            <w:tcBorders>
              <w:top w:val="single" w:color="auto" w:sz="4" w:space="0"/>
              <w:bottom w:val="single" w:color="auto" w:sz="4" w:space="0"/>
            </w:tcBorders>
            <w:shd w:val="clear" w:color="FFFFFF" w:fill="FFFFFF"/>
          </w:tcPr>
          <w:p>
            <w:pPr>
              <w:pageBreakBefore w:val="0"/>
              <w:widowControl w:val="0"/>
              <w:jc w:val="right"/>
              <w:textAlignment w:val="auto"/>
            </w:pPr>
            <w:r>
              <w:rPr>
                <w:b w:val="0"/>
                <w:i w:val="0"/>
                <w:color w:val="auto"/>
                <w:position w:val="-1"/>
                <w:sz w:val="20"/>
                <w:u w:val="none"/>
              </w:rPr>
              <w:t>37.83</w:t>
            </w:r>
          </w:p>
        </w:tc>
      </w:tr>
    </w:tbl>
    <w:p>
      <w:pPr>
        <w:rPr>
          <w:sz w:val="22"/>
          <w:szCs w:val="22"/>
        </w:rPr>
      </w:pPr>
      <w:r>
        <w:rPr>
          <w:rFonts w:hint="eastAsia"/>
          <w:sz w:val="20"/>
          <w:szCs w:val="20"/>
        </w:rPr>
        <w:t>注：“应付同级财政”主要包括预拨经费、向同级财政部门借入的款项</w:t>
      </w:r>
    </w:p>
    <w:p>
      <w:pPr>
        <w:pStyle w:val="111"/>
        <w:ind w:firstLine="600"/>
        <w:outlineLvl w:val="3"/>
        <w:rPr>
          <w:rFonts w:ascii="宋体" w:hAnsi="宋体" w:eastAsia="宋体"/>
        </w:rPr>
      </w:pPr>
      <w:r>
        <w:rPr>
          <w:rFonts w:hint="eastAsia" w:ascii="宋体" w:hAnsi="宋体" w:eastAsia="宋体"/>
        </w:rPr>
        <w:t>（</w:t>
      </w:r>
      <w:r>
        <w:rPr>
          <w:rFonts w:ascii="宋体" w:hAnsi="宋体" w:eastAsia="宋体"/>
        </w:rPr>
        <w:t>1</w:t>
      </w:r>
      <w:r>
        <w:rPr>
          <w:rFonts w:hint="eastAsia" w:ascii="宋体" w:hAnsi="宋体" w:eastAsia="宋体"/>
        </w:rPr>
        <w:t>5）长期借款明细信息如下：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w:t>
            </w:r>
            <w:r>
              <w:rPr>
                <w:sz w:val="22"/>
                <w:szCs w:val="22"/>
              </w:rPr>
              <w:t>1</w:t>
            </w:r>
            <w:r>
              <w:rPr>
                <w:rFonts w:hint="eastAsia"/>
                <w:sz w:val="22"/>
                <w:szCs w:val="22"/>
              </w:rPr>
              <w:t>5</w:t>
            </w:r>
            <w:r>
              <w:rPr>
                <w:sz w:val="22"/>
                <w:szCs w:val="22"/>
              </w:rPr>
              <w:t>-</w:t>
            </w:r>
            <w:r>
              <w:rPr>
                <w:rFonts w:hint="eastAsia"/>
                <w:sz w:val="22"/>
                <w:szCs w:val="22"/>
              </w:rPr>
              <w:t>1</w:t>
            </w:r>
          </w:p>
          <w:p>
            <w:pPr>
              <w:jc w:val="center"/>
              <w:rPr>
                <w:sz w:val="22"/>
                <w:szCs w:val="22"/>
              </w:rPr>
            </w:pPr>
            <w:r>
              <w:rPr>
                <w:rFonts w:ascii="宋体" w:hAnsi="宋体" w:eastAsia="宋体" w:cs="宋体"/>
                <w:sz w:val="22"/>
              </w:rPr>
              <w:t>附表15-1为空表（略）</w:t>
            </w:r>
          </w:p>
        </w:tc>
      </w:tr>
    </w:tbl>
    <w:p>
      <w:pPr>
        <w:spacing w:line="20" w:lineRule="exact"/>
        <w:jc w:val="right"/>
        <w:rPr>
          <w:sz w:val="20"/>
          <w:szCs w:val="20"/>
        </w:rPr>
      </w:pPr>
    </w:p>
    <w:p>
      <w:pPr>
        <w:pStyle w:val="111"/>
        <w:ind w:firstLine="600"/>
      </w:pP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w:t>
            </w:r>
            <w:r>
              <w:rPr>
                <w:sz w:val="22"/>
                <w:szCs w:val="22"/>
              </w:rPr>
              <w:t>1</w:t>
            </w:r>
            <w:r>
              <w:rPr>
                <w:rFonts w:hint="eastAsia"/>
                <w:sz w:val="22"/>
                <w:szCs w:val="22"/>
              </w:rPr>
              <w:t>5</w:t>
            </w:r>
            <w:r>
              <w:rPr>
                <w:sz w:val="22"/>
                <w:szCs w:val="22"/>
              </w:rPr>
              <w:t>-</w:t>
            </w:r>
            <w:r>
              <w:rPr>
                <w:rFonts w:hint="eastAsia"/>
                <w:sz w:val="22"/>
                <w:szCs w:val="22"/>
              </w:rPr>
              <w:t>2</w:t>
            </w:r>
          </w:p>
          <w:p>
            <w:pPr>
              <w:jc w:val="center"/>
              <w:rPr>
                <w:sz w:val="22"/>
                <w:szCs w:val="22"/>
              </w:rPr>
            </w:pPr>
            <w:r>
              <w:rPr>
                <w:rFonts w:ascii="宋体" w:hAnsi="宋体" w:eastAsia="宋体" w:cs="宋体"/>
                <w:sz w:val="22"/>
              </w:rPr>
              <w:t>附表15-2为空表（略）</w:t>
            </w:r>
          </w:p>
        </w:tc>
      </w:tr>
    </w:tbl>
    <w:p>
      <w:pPr>
        <w:spacing w:line="20" w:lineRule="exact"/>
        <w:jc w:val="right"/>
        <w:rPr>
          <w:sz w:val="20"/>
          <w:szCs w:val="20"/>
        </w:rPr>
      </w:pPr>
    </w:p>
    <w:p>
      <w:pPr>
        <w:rPr>
          <w:sz w:val="22"/>
          <w:szCs w:val="22"/>
        </w:rPr>
      </w:pPr>
    </w:p>
    <w:p>
      <w:pPr>
        <w:pStyle w:val="111"/>
        <w:ind w:firstLine="600"/>
        <w:outlineLvl w:val="3"/>
        <w:rPr>
          <w:rFonts w:ascii="宋体" w:hAnsi="宋体" w:eastAsia="宋体"/>
        </w:rPr>
      </w:pPr>
      <w:r>
        <w:rPr>
          <w:rFonts w:hint="eastAsia" w:ascii="宋体" w:hAnsi="宋体" w:eastAsia="宋体"/>
        </w:rPr>
        <w:t>（</w:t>
      </w:r>
      <w:r>
        <w:rPr>
          <w:rFonts w:ascii="宋体" w:hAnsi="宋体" w:eastAsia="宋体"/>
        </w:rPr>
        <w:t>1</w:t>
      </w:r>
      <w:r>
        <w:rPr>
          <w:rFonts w:hint="eastAsia" w:ascii="宋体" w:hAnsi="宋体" w:eastAsia="宋体"/>
        </w:rPr>
        <w:t>6）长期应付款明细信息如下：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w:t>
            </w:r>
            <w:r>
              <w:rPr>
                <w:sz w:val="22"/>
                <w:szCs w:val="22"/>
              </w:rPr>
              <w:t>1</w:t>
            </w:r>
            <w:r>
              <w:rPr>
                <w:rFonts w:hint="eastAsia"/>
                <w:sz w:val="22"/>
                <w:szCs w:val="22"/>
              </w:rPr>
              <w:t>6</w:t>
            </w:r>
          </w:p>
          <w:p>
            <w:pPr>
              <w:jc w:val="center"/>
              <w:rPr>
                <w:sz w:val="22"/>
                <w:szCs w:val="22"/>
              </w:rPr>
            </w:pPr>
            <w:r>
              <w:rPr>
                <w:rFonts w:ascii="宋体" w:hAnsi="宋体" w:eastAsia="宋体" w:cs="宋体"/>
                <w:sz w:val="22"/>
              </w:rPr>
              <w:t>附表16为空表（略）</w:t>
            </w:r>
          </w:p>
        </w:tc>
      </w:tr>
    </w:tbl>
    <w:p>
      <w:pPr>
        <w:spacing w:line="20" w:lineRule="exact"/>
        <w:jc w:val="right"/>
        <w:rPr>
          <w:sz w:val="20"/>
          <w:szCs w:val="20"/>
        </w:rPr>
      </w:pPr>
    </w:p>
    <w:p>
      <w:pPr>
        <w:rPr>
          <w:sz w:val="22"/>
          <w:szCs w:val="22"/>
        </w:rPr>
      </w:pPr>
    </w:p>
    <w:p>
      <w:pPr>
        <w:pStyle w:val="111"/>
        <w:ind w:firstLine="600"/>
        <w:outlineLvl w:val="3"/>
        <w:rPr>
          <w:rFonts w:ascii="宋体" w:hAnsi="宋体" w:eastAsia="宋体"/>
        </w:rPr>
      </w:pPr>
      <w:r>
        <w:rPr>
          <w:rFonts w:hint="eastAsia" w:ascii="宋体" w:hAnsi="宋体" w:eastAsia="宋体"/>
        </w:rPr>
        <w:t>（</w:t>
      </w:r>
      <w:r>
        <w:rPr>
          <w:rFonts w:ascii="宋体" w:hAnsi="宋体" w:eastAsia="宋体"/>
        </w:rPr>
        <w:t>1</w:t>
      </w:r>
      <w:r>
        <w:rPr>
          <w:rFonts w:hint="eastAsia" w:ascii="宋体" w:hAnsi="宋体" w:eastAsia="宋体"/>
        </w:rPr>
        <w:t>7）事业收入明细信息如下：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w:t>
            </w:r>
            <w:r>
              <w:rPr>
                <w:sz w:val="22"/>
                <w:szCs w:val="22"/>
              </w:rPr>
              <w:t>1</w:t>
            </w:r>
            <w:r>
              <w:rPr>
                <w:rFonts w:hint="eastAsia"/>
                <w:sz w:val="22"/>
                <w:szCs w:val="22"/>
              </w:rPr>
              <w:t>7</w:t>
            </w:r>
          </w:p>
          <w:p>
            <w:pPr>
              <w:jc w:val="center"/>
              <w:rPr>
                <w:sz w:val="22"/>
                <w:szCs w:val="22"/>
              </w:rPr>
            </w:pPr>
            <w:r>
              <w:rPr>
                <w:rFonts w:ascii="宋体" w:hAnsi="宋体" w:eastAsia="宋体" w:cs="宋体"/>
                <w:sz w:val="22"/>
              </w:rPr>
              <w:t>附表17为空表（略）</w:t>
            </w:r>
          </w:p>
        </w:tc>
      </w:tr>
    </w:tbl>
    <w:p>
      <w:pPr>
        <w:spacing w:line="20" w:lineRule="exact"/>
        <w:jc w:val="right"/>
        <w:rPr>
          <w:sz w:val="20"/>
          <w:szCs w:val="20"/>
        </w:rPr>
      </w:pPr>
    </w:p>
    <w:p>
      <w:pPr>
        <w:rPr>
          <w:sz w:val="22"/>
          <w:szCs w:val="22"/>
        </w:rPr>
      </w:pPr>
    </w:p>
    <w:p>
      <w:pPr>
        <w:pStyle w:val="111"/>
        <w:ind w:firstLine="600"/>
        <w:outlineLvl w:val="3"/>
        <w:rPr>
          <w:rFonts w:ascii="宋体" w:hAnsi="宋体" w:eastAsia="宋体"/>
        </w:rPr>
      </w:pPr>
      <w:r>
        <w:rPr>
          <w:rFonts w:hint="eastAsia" w:ascii="宋体" w:hAnsi="宋体" w:eastAsia="宋体"/>
        </w:rPr>
        <w:t>（</w:t>
      </w:r>
      <w:r>
        <w:rPr>
          <w:rFonts w:ascii="宋体" w:hAnsi="宋体" w:eastAsia="宋体"/>
        </w:rPr>
        <w:t>1</w:t>
      </w:r>
      <w:r>
        <w:rPr>
          <w:rFonts w:hint="eastAsia" w:ascii="宋体" w:hAnsi="宋体" w:eastAsia="宋体"/>
        </w:rPr>
        <w:t>8）经营收入明细信息如下：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w:t>
            </w:r>
            <w:r>
              <w:rPr>
                <w:sz w:val="22"/>
                <w:szCs w:val="22"/>
              </w:rPr>
              <w:t>1</w:t>
            </w:r>
            <w:r>
              <w:rPr>
                <w:rFonts w:hint="eastAsia"/>
                <w:sz w:val="22"/>
                <w:szCs w:val="22"/>
              </w:rPr>
              <w:t>8</w:t>
            </w:r>
          </w:p>
          <w:p>
            <w:pPr>
              <w:jc w:val="center"/>
              <w:rPr>
                <w:sz w:val="22"/>
                <w:szCs w:val="22"/>
              </w:rPr>
            </w:pPr>
            <w:r>
              <w:rPr>
                <w:rFonts w:ascii="宋体" w:hAnsi="宋体" w:eastAsia="宋体" w:cs="宋体"/>
                <w:sz w:val="22"/>
              </w:rPr>
              <w:t>附表18为空表（略）</w:t>
            </w:r>
          </w:p>
        </w:tc>
      </w:tr>
    </w:tbl>
    <w:p>
      <w:pPr>
        <w:spacing w:line="20" w:lineRule="exact"/>
        <w:jc w:val="right"/>
        <w:rPr>
          <w:sz w:val="20"/>
          <w:szCs w:val="20"/>
        </w:rPr>
      </w:pPr>
    </w:p>
    <w:p>
      <w:pPr>
        <w:rPr>
          <w:sz w:val="22"/>
          <w:szCs w:val="22"/>
        </w:rPr>
      </w:pPr>
    </w:p>
    <w:p>
      <w:pPr>
        <w:pStyle w:val="111"/>
        <w:ind w:firstLine="600"/>
        <w:outlineLvl w:val="3"/>
        <w:rPr>
          <w:rFonts w:ascii="宋体" w:hAnsi="宋体" w:eastAsia="宋体"/>
        </w:rPr>
      </w:pPr>
      <w:r>
        <w:rPr>
          <w:rFonts w:hint="eastAsia" w:ascii="宋体" w:hAnsi="宋体" w:eastAsia="宋体"/>
        </w:rPr>
        <w:t>（19）非同级财政拨款收入明细信息如下：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附表19</w:t>
            </w:r>
          </w:p>
          <w:p>
            <w:pPr>
              <w:jc w:val="center"/>
              <w:rPr>
                <w:sz w:val="22"/>
                <w:szCs w:val="22"/>
              </w:rPr>
            </w:pPr>
            <w:r>
              <w:rPr>
                <w:rFonts w:ascii="宋体" w:hAnsi="宋体" w:eastAsia="宋体" w:cs="宋体"/>
                <w:sz w:val="22"/>
              </w:rPr>
              <w:t>附表19为空表（略）</w:t>
            </w:r>
          </w:p>
        </w:tc>
      </w:tr>
    </w:tbl>
    <w:p>
      <w:pPr>
        <w:spacing w:line="20" w:lineRule="exact"/>
        <w:jc w:val="right"/>
        <w:rPr>
          <w:sz w:val="20"/>
          <w:szCs w:val="20"/>
        </w:rPr>
      </w:pPr>
    </w:p>
    <w:p>
      <w:r>
        <w:rPr>
          <w:sz w:val="22"/>
        </w:rPr>
        <w:t>注：“来自非同级财政”是指收到其他财政部门的拨款。</w:t>
      </w:r>
    </w:p>
    <w:p>
      <w:pPr>
        <w:pStyle w:val="111"/>
        <w:ind w:firstLine="600"/>
        <w:outlineLvl w:val="3"/>
        <w:rPr>
          <w:rFonts w:ascii="宋体" w:hAnsi="宋体" w:eastAsia="宋体"/>
        </w:rPr>
      </w:pPr>
      <w:r>
        <w:rPr>
          <w:rFonts w:hint="eastAsia" w:ascii="宋体" w:hAnsi="宋体" w:eastAsia="宋体"/>
        </w:rPr>
        <w:t>（20）其他收入明细信息如下：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附表20</w:t>
            </w:r>
          </w:p>
          <w:p>
            <w:pPr>
              <w:rPr>
                <w:sz w:val="22"/>
                <w:szCs w:val="22"/>
              </w:rPr>
            </w:pP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center"/>
              <w:rPr>
                <w:b/>
                <w:bCs/>
                <w:sz w:val="22"/>
                <w:szCs w:val="22"/>
              </w:rPr>
            </w:pPr>
            <w:r>
              <w:rPr>
                <w:rFonts w:hint="eastAsia"/>
                <w:b/>
                <w:bCs/>
                <w:sz w:val="22"/>
                <w:szCs w:val="22"/>
              </w:rPr>
              <w:t>其他收入明细表</w:t>
            </w: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right"/>
              <w:rPr>
                <w:b/>
                <w:bCs/>
                <w:sz w:val="20"/>
                <w:szCs w:val="20"/>
              </w:rPr>
            </w:pPr>
            <w:r>
              <w:rPr>
                <w:rFonts w:hint="eastAsia"/>
                <w:sz w:val="20"/>
                <w:szCs w:val="20"/>
              </w:rPr>
              <w:t>单位：万元</w:t>
            </w:r>
          </w:p>
        </w:tc>
      </w:tr>
    </w:tbl>
    <w:p>
      <w:pPr>
        <w:spacing w:line="20" w:lineRule="exact"/>
        <w:jc w:val="right"/>
        <w:rPr>
          <w:sz w:val="20"/>
          <w:szCs w:val="20"/>
        </w:rPr>
      </w:pPr>
    </w:p>
    <w:tbl>
      <w:tblPr>
        <w:tblStyle w:val="36"/>
        <w:tblW w:w="85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64"/>
        <w:gridCol w:w="42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4" w:type="dxa"/>
            <w:tcBorders>
              <w:top w:val="single" w:color="auto" w:sz="4" w:space="0"/>
              <w:bottom w:val="single" w:color="auto" w:sz="4" w:space="0"/>
            </w:tcBorders>
            <w:shd w:val="clear" w:color="FFFFFF" w:fill="FFFFFF"/>
          </w:tcPr>
          <w:p>
            <w:pPr>
              <w:widowControl/>
              <w:jc w:val="center"/>
              <w:rPr>
                <w:b/>
                <w:bCs/>
                <w:sz w:val="20"/>
                <w:szCs w:val="20"/>
              </w:rPr>
            </w:pPr>
            <w:r>
              <w:rPr>
                <w:rFonts w:hint="eastAsia"/>
                <w:b/>
                <w:bCs/>
                <w:sz w:val="20"/>
                <w:szCs w:val="20"/>
              </w:rPr>
              <w:t>收入来源</w:t>
            </w:r>
          </w:p>
        </w:tc>
        <w:tc>
          <w:tcPr>
            <w:tcW w:w="4264" w:type="dxa"/>
            <w:tcBorders>
              <w:top w:val="single" w:color="auto" w:sz="4" w:space="0"/>
              <w:bottom w:val="single" w:color="auto" w:sz="4" w:space="0"/>
            </w:tcBorders>
            <w:shd w:val="clear" w:color="FFFFFF" w:fill="FFFFFF"/>
          </w:tcPr>
          <w:p>
            <w:pPr>
              <w:widowControl/>
              <w:jc w:val="center"/>
              <w:rPr>
                <w:b/>
                <w:bCs/>
                <w:sz w:val="20"/>
                <w:szCs w:val="20"/>
              </w:rPr>
            </w:pPr>
            <w:r>
              <w:rPr>
                <w:rFonts w:hint="eastAsia"/>
                <w:b/>
                <w:bCs/>
                <w:sz w:val="20"/>
                <w:szCs w:val="20"/>
              </w:rPr>
              <w:t>本年数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exact"/>
        </w:trPr>
        <w:tc>
          <w:tcPr>
            <w:tcW w:w="4264" w:type="dxa"/>
            <w:tcBorders>
              <w:top w:val="single" w:color="auto" w:sz="4" w:space="0"/>
            </w:tcBorders>
            <w:shd w:val="clear" w:color="FFFFFF" w:fill="FFFFFF"/>
          </w:tcPr>
          <w:p>
            <w:pPr>
              <w:widowControl w:val="0"/>
              <w:jc w:val="both"/>
              <w:rPr>
                <w:sz w:val="22"/>
                <w:szCs w:val="22"/>
              </w:rPr>
            </w:pPr>
          </w:p>
        </w:tc>
        <w:tc>
          <w:tcPr>
            <w:tcW w:w="4264" w:type="dxa"/>
            <w:tcBorders>
              <w:top w:val="single" w:color="auto" w:sz="4" w:space="0"/>
            </w:tcBorders>
            <w:shd w:val="clear" w:color="FFFFFF" w:fill="FFFFFF"/>
          </w:tcPr>
          <w:p>
            <w:pPr>
              <w:widowControl w:val="0"/>
              <w:jc w:val="both"/>
              <w:rPr>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64" w:type="dxa"/>
            <w:shd w:val="clear" w:color="FFFFFF" w:fill="FFFFFF"/>
          </w:tcPr>
          <w:p>
            <w:pPr>
              <w:pageBreakBefore w:val="0"/>
              <w:widowControl w:val="0"/>
              <w:jc w:val="left"/>
              <w:textAlignment w:val="auto"/>
            </w:pPr>
            <w:r>
              <w:rPr>
                <w:b/>
                <w:i w:val="0"/>
                <w:color w:val="auto"/>
                <w:position w:val="-1"/>
                <w:sz w:val="20"/>
                <w:u w:val="none"/>
              </w:rPr>
              <w:t>来自本部门内部单位</w:t>
            </w:r>
          </w:p>
        </w:tc>
        <w:tc>
          <w:tcPr>
            <w:tcW w:w="4264"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64" w:type="dxa"/>
            <w:shd w:val="clear" w:color="FFFFFF" w:fill="FFFFFF"/>
          </w:tcPr>
          <w:p>
            <w:pPr>
              <w:pageBreakBefore w:val="0"/>
              <w:widowControl w:val="0"/>
              <w:jc w:val="left"/>
              <w:textAlignment w:val="auto"/>
            </w:pPr>
            <w:r>
              <w:rPr>
                <w:b/>
                <w:i w:val="0"/>
                <w:color w:val="auto"/>
                <w:position w:val="-1"/>
                <w:sz w:val="20"/>
                <w:u w:val="none"/>
              </w:rPr>
              <w:t>来自本部门以外的同级政府单位</w:t>
            </w:r>
          </w:p>
        </w:tc>
        <w:tc>
          <w:tcPr>
            <w:tcW w:w="4264" w:type="dxa"/>
            <w:shd w:val="clear" w:color="FFFFFF" w:fill="FFFFFF"/>
          </w:tcPr>
          <w:p>
            <w:pPr>
              <w:pageBreakBefore w:val="0"/>
              <w:widowControl w:val="0"/>
              <w:jc w:val="right"/>
              <w:textAlignment w:val="auto"/>
            </w:pPr>
            <w:r>
              <w:rPr>
                <w:b w:val="0"/>
                <w:i w:val="0"/>
                <w:color w:val="auto"/>
                <w:position w:val="-1"/>
                <w:sz w:val="20"/>
                <w:u w:val="none"/>
              </w:rPr>
              <w:t>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64" w:type="dxa"/>
            <w:shd w:val="clear" w:color="FFFFFF" w:fill="FFFFFF"/>
          </w:tcPr>
          <w:p>
            <w:pPr>
              <w:pageBreakBefore w:val="0"/>
              <w:widowControl w:val="0"/>
              <w:jc w:val="left"/>
              <w:textAlignment w:val="auto"/>
            </w:pPr>
            <w:r>
              <w:rPr>
                <w:b w:val="0"/>
                <w:i w:val="0"/>
                <w:color w:val="auto"/>
                <w:position w:val="-1"/>
                <w:sz w:val="20"/>
                <w:u w:val="none"/>
              </w:rPr>
              <w:t xml:space="preserve">  内蒙古自治区巴彦淖尔市临河区委员会直属机关工作委员会</w:t>
            </w:r>
          </w:p>
        </w:tc>
        <w:tc>
          <w:tcPr>
            <w:tcW w:w="4264" w:type="dxa"/>
            <w:shd w:val="clear" w:color="FFFFFF" w:fill="FFFFFF"/>
          </w:tcPr>
          <w:p>
            <w:pPr>
              <w:pageBreakBefore w:val="0"/>
              <w:widowControl w:val="0"/>
              <w:jc w:val="right"/>
              <w:textAlignment w:val="auto"/>
            </w:pPr>
            <w:r>
              <w:rPr>
                <w:b w:val="0"/>
                <w:i w:val="0"/>
                <w:color w:val="auto"/>
                <w:position w:val="-1"/>
                <w:sz w:val="20"/>
                <w:u w:val="none"/>
              </w:rPr>
              <w:t>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64" w:type="dxa"/>
            <w:shd w:val="clear" w:color="FFFFFF" w:fill="FFFFFF"/>
          </w:tcPr>
          <w:p>
            <w:pPr>
              <w:pageBreakBefore w:val="0"/>
              <w:widowControl w:val="0"/>
              <w:jc w:val="left"/>
              <w:textAlignment w:val="auto"/>
            </w:pPr>
            <w:r>
              <w:rPr>
                <w:b/>
                <w:i w:val="0"/>
                <w:color w:val="auto"/>
                <w:position w:val="-1"/>
                <w:sz w:val="20"/>
                <w:u w:val="none"/>
              </w:rPr>
              <w:t>来自本部门以外的非同级政府单位</w:t>
            </w:r>
          </w:p>
        </w:tc>
        <w:tc>
          <w:tcPr>
            <w:tcW w:w="4264"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264" w:type="dxa"/>
            <w:shd w:val="clear" w:color="FFFFFF" w:fill="FFFFFF"/>
          </w:tcPr>
          <w:p>
            <w:pPr>
              <w:pageBreakBefore w:val="0"/>
              <w:widowControl w:val="0"/>
              <w:jc w:val="left"/>
              <w:textAlignment w:val="auto"/>
            </w:pPr>
            <w:r>
              <w:rPr>
                <w:b/>
                <w:i w:val="0"/>
                <w:color w:val="auto"/>
                <w:position w:val="-1"/>
                <w:sz w:val="20"/>
                <w:u w:val="none"/>
              </w:rPr>
              <w:t>来自其他单位</w:t>
            </w:r>
          </w:p>
        </w:tc>
        <w:tc>
          <w:tcPr>
            <w:tcW w:w="4264"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4264" w:type="dxa"/>
            <w:tcBorders>
              <w:top w:val="single" w:color="auto" w:sz="4" w:space="0"/>
              <w:bottom w:val="single" w:color="auto" w:sz="4" w:space="0"/>
            </w:tcBorders>
            <w:shd w:val="clear" w:color="FFFFFF" w:fill="FFFFFF"/>
          </w:tcPr>
          <w:p>
            <w:pPr>
              <w:pageBreakBefore w:val="0"/>
              <w:widowControl w:val="0"/>
              <w:jc w:val="center"/>
              <w:textAlignment w:val="auto"/>
            </w:pPr>
            <w:r>
              <w:rPr>
                <w:b/>
                <w:i w:val="0"/>
                <w:color w:val="auto"/>
                <w:position w:val="-1"/>
                <w:sz w:val="20"/>
                <w:u w:val="none"/>
              </w:rPr>
              <w:t>合计</w:t>
            </w:r>
          </w:p>
        </w:tc>
        <w:tc>
          <w:tcPr>
            <w:tcW w:w="4264" w:type="dxa"/>
            <w:tcBorders>
              <w:top w:val="single" w:color="auto" w:sz="4" w:space="0"/>
              <w:bottom w:val="single" w:color="auto" w:sz="4" w:space="0"/>
            </w:tcBorders>
            <w:shd w:val="clear" w:color="FFFFFF" w:fill="FFFFFF"/>
          </w:tcPr>
          <w:p>
            <w:pPr>
              <w:pageBreakBefore w:val="0"/>
              <w:widowControl w:val="0"/>
              <w:jc w:val="right"/>
              <w:textAlignment w:val="auto"/>
            </w:pPr>
            <w:r>
              <w:rPr>
                <w:b w:val="0"/>
                <w:i w:val="0"/>
                <w:color w:val="auto"/>
                <w:position w:val="-1"/>
                <w:sz w:val="20"/>
                <w:u w:val="none"/>
              </w:rPr>
              <w:t>0.05</w:t>
            </w:r>
          </w:p>
        </w:tc>
      </w:tr>
    </w:tbl>
    <w:p>
      <w:pPr>
        <w:rPr>
          <w:sz w:val="22"/>
          <w:szCs w:val="22"/>
        </w:rPr>
      </w:pPr>
    </w:p>
    <w:p>
      <w:pPr>
        <w:pStyle w:val="111"/>
        <w:ind w:firstLine="600"/>
        <w:outlineLvl w:val="3"/>
        <w:rPr>
          <w:rFonts w:ascii="宋体" w:hAnsi="宋体" w:eastAsia="宋体"/>
        </w:rPr>
      </w:pPr>
      <w:r>
        <w:rPr>
          <w:rFonts w:hint="eastAsia" w:ascii="宋体" w:hAnsi="宋体" w:eastAsia="宋体"/>
        </w:rPr>
        <w:t>（21）业务活动费用明细信息如下：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w:t>
            </w:r>
            <w:r>
              <w:rPr>
                <w:sz w:val="22"/>
                <w:szCs w:val="22"/>
              </w:rPr>
              <w:t>2</w:t>
            </w:r>
            <w:r>
              <w:rPr>
                <w:rFonts w:hint="eastAsia"/>
                <w:sz w:val="22"/>
                <w:szCs w:val="22"/>
              </w:rPr>
              <w:t>1</w:t>
            </w:r>
          </w:p>
          <w:p>
            <w:pPr>
              <w:rPr>
                <w:sz w:val="22"/>
                <w:szCs w:val="22"/>
              </w:rPr>
            </w:pP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center"/>
              <w:rPr>
                <w:b/>
                <w:bCs/>
                <w:sz w:val="22"/>
                <w:szCs w:val="22"/>
              </w:rPr>
            </w:pPr>
            <w:r>
              <w:rPr>
                <w:rFonts w:hint="eastAsia"/>
                <w:b/>
                <w:bCs/>
                <w:sz w:val="22"/>
                <w:szCs w:val="22"/>
              </w:rPr>
              <w:t>业务活动费用明细表</w:t>
            </w: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right"/>
              <w:rPr>
                <w:b/>
                <w:bCs/>
                <w:sz w:val="20"/>
                <w:szCs w:val="20"/>
              </w:rPr>
            </w:pPr>
            <w:r>
              <w:rPr>
                <w:rFonts w:hint="eastAsia"/>
                <w:sz w:val="20"/>
                <w:szCs w:val="20"/>
              </w:rPr>
              <w:t>单位：万元</w:t>
            </w:r>
          </w:p>
        </w:tc>
      </w:tr>
    </w:tbl>
    <w:p>
      <w:pPr>
        <w:tabs>
          <w:tab w:val="left" w:pos="4242"/>
          <w:tab w:val="left" w:pos="6754"/>
        </w:tabs>
        <w:spacing w:line="20" w:lineRule="exact"/>
        <w:rPr>
          <w:b/>
          <w:bCs/>
          <w:sz w:val="20"/>
          <w:szCs w:val="20"/>
        </w:rPr>
      </w:pPr>
    </w:p>
    <w:tbl>
      <w:tblPr>
        <w:tblStyle w:val="36"/>
        <w:tblW w:w="85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27"/>
        <w:gridCol w:w="2458"/>
        <w:gridCol w:w="28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Borders>
              <w:top w:val="single" w:color="auto" w:sz="4" w:space="0"/>
              <w:bottom w:val="single" w:color="auto" w:sz="4" w:space="0"/>
            </w:tcBorders>
            <w:shd w:val="clear" w:color="FFFFFF" w:fill="FFFFFF"/>
          </w:tcPr>
          <w:p>
            <w:pPr>
              <w:widowControl/>
              <w:jc w:val="center"/>
              <w:rPr>
                <w:b/>
                <w:bCs/>
                <w:sz w:val="20"/>
                <w:szCs w:val="20"/>
              </w:rPr>
            </w:pPr>
            <w:r>
              <w:rPr>
                <w:rFonts w:hint="eastAsia"/>
                <w:b/>
                <w:bCs/>
                <w:sz w:val="20"/>
                <w:szCs w:val="20"/>
              </w:rPr>
              <w:t>项目</w:t>
            </w:r>
          </w:p>
        </w:tc>
        <w:tc>
          <w:tcPr>
            <w:tcW w:w="2458" w:type="dxa"/>
            <w:tcBorders>
              <w:top w:val="single" w:color="auto" w:sz="4" w:space="0"/>
              <w:bottom w:val="single" w:color="auto" w:sz="4" w:space="0"/>
            </w:tcBorders>
            <w:shd w:val="clear" w:color="FFFFFF" w:fill="FFFFFF"/>
          </w:tcPr>
          <w:p>
            <w:pPr>
              <w:widowControl w:val="0"/>
              <w:jc w:val="center"/>
              <w:rPr>
                <w:b/>
                <w:bCs/>
                <w:sz w:val="20"/>
                <w:szCs w:val="20"/>
              </w:rPr>
            </w:pPr>
            <w:r>
              <w:rPr>
                <w:rFonts w:hint="eastAsia"/>
                <w:b/>
                <w:bCs/>
                <w:sz w:val="20"/>
                <w:szCs w:val="20"/>
              </w:rPr>
              <w:t>本年数</w:t>
            </w:r>
          </w:p>
        </w:tc>
        <w:tc>
          <w:tcPr>
            <w:tcW w:w="2843" w:type="dxa"/>
            <w:tcBorders>
              <w:top w:val="single" w:color="auto" w:sz="4" w:space="0"/>
              <w:bottom w:val="single" w:color="auto" w:sz="4" w:space="0"/>
            </w:tcBorders>
            <w:shd w:val="clear" w:color="FFFFFF" w:fill="FFFFFF"/>
          </w:tcPr>
          <w:p>
            <w:pPr>
              <w:widowControl w:val="0"/>
              <w:jc w:val="center"/>
              <w:rPr>
                <w:b/>
                <w:bCs/>
                <w:sz w:val="20"/>
                <w:szCs w:val="20"/>
              </w:rPr>
            </w:pPr>
            <w:r>
              <w:rPr>
                <w:rFonts w:hint="eastAsia"/>
                <w:b/>
                <w:bCs/>
                <w:sz w:val="20"/>
                <w:szCs w:val="20"/>
              </w:rPr>
              <w:t>上年数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exact"/>
        </w:trPr>
        <w:tc>
          <w:tcPr>
            <w:tcW w:w="3227" w:type="dxa"/>
            <w:tcBorders>
              <w:top w:val="single" w:color="auto" w:sz="4" w:space="0"/>
            </w:tcBorders>
            <w:shd w:val="clear" w:color="FFFFFF" w:fill="FFFFFF"/>
          </w:tcPr>
          <w:p>
            <w:pPr>
              <w:widowControl w:val="0"/>
              <w:jc w:val="both"/>
            </w:pPr>
          </w:p>
        </w:tc>
        <w:tc>
          <w:tcPr>
            <w:tcW w:w="2458" w:type="dxa"/>
            <w:tcBorders>
              <w:top w:val="single" w:color="auto" w:sz="4" w:space="0"/>
            </w:tcBorders>
            <w:shd w:val="clear" w:color="FFFFFF" w:fill="FFFFFF"/>
          </w:tcPr>
          <w:p>
            <w:pPr>
              <w:widowControl w:val="0"/>
              <w:jc w:val="both"/>
            </w:pPr>
          </w:p>
        </w:tc>
        <w:tc>
          <w:tcPr>
            <w:tcW w:w="2843" w:type="dxa"/>
            <w:tcBorders>
              <w:top w:val="single" w:color="auto" w:sz="4" w:space="0"/>
            </w:tcBorders>
            <w:shd w:val="clear" w:color="FFFFFF" w:fill="FFFFFF"/>
          </w:tcPr>
          <w:p>
            <w:pPr>
              <w:widowControl w:val="0"/>
              <w:jc w:val="both"/>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27" w:type="dxa"/>
            <w:shd w:val="clear" w:color="FFFFFF" w:fill="FFFFFF"/>
          </w:tcPr>
          <w:p>
            <w:pPr>
              <w:pageBreakBefore w:val="0"/>
              <w:widowControl w:val="0"/>
              <w:jc w:val="left"/>
              <w:textAlignment w:val="auto"/>
            </w:pPr>
            <w:r>
              <w:rPr>
                <w:b w:val="0"/>
                <w:i w:val="0"/>
                <w:color w:val="auto"/>
                <w:position w:val="-1"/>
                <w:sz w:val="20"/>
                <w:u w:val="none"/>
              </w:rPr>
              <w:t xml:space="preserve">  工资和福利费用</w:t>
            </w:r>
          </w:p>
        </w:tc>
        <w:tc>
          <w:tcPr>
            <w:tcW w:w="2458" w:type="dxa"/>
            <w:shd w:val="clear" w:color="FFFFFF" w:fill="FFFFFF"/>
          </w:tcPr>
          <w:p>
            <w:pPr>
              <w:pageBreakBefore w:val="0"/>
              <w:widowControl w:val="0"/>
              <w:jc w:val="right"/>
              <w:textAlignment w:val="auto"/>
            </w:pPr>
            <w:r>
              <w:rPr>
                <w:b w:val="0"/>
                <w:i w:val="0"/>
                <w:color w:val="auto"/>
                <w:position w:val="-1"/>
                <w:sz w:val="20"/>
                <w:u w:val="none"/>
              </w:rPr>
              <w:t>978.78</w:t>
            </w:r>
          </w:p>
        </w:tc>
        <w:tc>
          <w:tcPr>
            <w:tcW w:w="2843" w:type="dxa"/>
            <w:shd w:val="clear" w:color="FFFFFF" w:fill="FFFFFF"/>
          </w:tcPr>
          <w:p>
            <w:pPr>
              <w:pageBreakBefore w:val="0"/>
              <w:widowControl w:val="0"/>
              <w:jc w:val="right"/>
              <w:textAlignment w:val="auto"/>
            </w:pPr>
            <w:r>
              <w:rPr>
                <w:b w:val="0"/>
                <w:i w:val="0"/>
                <w:color w:val="auto"/>
                <w:position w:val="-1"/>
                <w:sz w:val="20"/>
                <w:u w:val="none"/>
              </w:rPr>
              <w:t>927.46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27" w:type="dxa"/>
            <w:shd w:val="clear" w:color="FFFFFF" w:fill="FFFFFF"/>
          </w:tcPr>
          <w:p>
            <w:pPr>
              <w:pageBreakBefore w:val="0"/>
              <w:widowControl w:val="0"/>
              <w:jc w:val="left"/>
              <w:textAlignment w:val="auto"/>
            </w:pPr>
            <w:r>
              <w:rPr>
                <w:b w:val="0"/>
                <w:i w:val="0"/>
                <w:color w:val="auto"/>
                <w:position w:val="-1"/>
                <w:sz w:val="20"/>
                <w:u w:val="none"/>
              </w:rPr>
              <w:t xml:space="preserve">  商品和服务费用</w:t>
            </w:r>
          </w:p>
        </w:tc>
        <w:tc>
          <w:tcPr>
            <w:tcW w:w="2458" w:type="dxa"/>
            <w:shd w:val="clear" w:color="FFFFFF" w:fill="FFFFFF"/>
          </w:tcPr>
          <w:p>
            <w:pPr>
              <w:pageBreakBefore w:val="0"/>
              <w:widowControl w:val="0"/>
              <w:jc w:val="right"/>
              <w:textAlignment w:val="auto"/>
            </w:pPr>
            <w:r>
              <w:rPr>
                <w:b w:val="0"/>
                <w:i w:val="0"/>
                <w:color w:val="auto"/>
                <w:position w:val="-1"/>
                <w:sz w:val="20"/>
                <w:u w:val="none"/>
              </w:rPr>
              <w:t>307.55</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27" w:type="dxa"/>
            <w:shd w:val="clear" w:color="FFFFFF" w:fill="FFFFFF"/>
          </w:tcPr>
          <w:p>
            <w:pPr>
              <w:pageBreakBefore w:val="0"/>
              <w:widowControl w:val="0"/>
              <w:jc w:val="left"/>
              <w:textAlignment w:val="auto"/>
            </w:pPr>
            <w:r>
              <w:rPr>
                <w:b w:val="0"/>
                <w:i w:val="0"/>
                <w:color w:val="auto"/>
                <w:position w:val="-1"/>
                <w:sz w:val="20"/>
                <w:u w:val="none"/>
              </w:rPr>
              <w:t xml:space="preserve">  对个人和家庭的补助费用</w:t>
            </w:r>
          </w:p>
        </w:tc>
        <w:tc>
          <w:tcPr>
            <w:tcW w:w="2458" w:type="dxa"/>
            <w:shd w:val="clear" w:color="FFFFFF" w:fill="FFFFFF"/>
          </w:tcPr>
          <w:p>
            <w:pPr>
              <w:pageBreakBefore w:val="0"/>
              <w:widowControl w:val="0"/>
              <w:jc w:val="right"/>
              <w:textAlignment w:val="auto"/>
            </w:pPr>
            <w:r>
              <w:rPr>
                <w:b w:val="0"/>
                <w:i w:val="0"/>
                <w:color w:val="auto"/>
                <w:position w:val="-1"/>
                <w:sz w:val="20"/>
                <w:u w:val="none"/>
              </w:rPr>
              <w:t>0.00</w:t>
            </w:r>
          </w:p>
        </w:tc>
        <w:tc>
          <w:tcPr>
            <w:tcW w:w="2843" w:type="dxa"/>
            <w:shd w:val="clear" w:color="FFFFFF" w:fill="FFFFFF"/>
          </w:tcPr>
          <w:p>
            <w:pPr>
              <w:pageBreakBefore w:val="0"/>
              <w:widowControl w:val="0"/>
              <w:jc w:val="right"/>
              <w:textAlignment w:val="auto"/>
            </w:pPr>
            <w:r>
              <w:rPr>
                <w:b w:val="0"/>
                <w:i w:val="0"/>
                <w:color w:val="auto"/>
                <w:position w:val="-1"/>
                <w:sz w:val="20"/>
                <w:u w:val="none"/>
              </w:rPr>
              <w:t>45.39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27" w:type="dxa"/>
            <w:shd w:val="clear" w:color="FFFFFF" w:fill="FFFFFF"/>
          </w:tcPr>
          <w:p>
            <w:pPr>
              <w:pageBreakBefore w:val="0"/>
              <w:widowControl w:val="0"/>
              <w:jc w:val="left"/>
              <w:textAlignment w:val="auto"/>
            </w:pPr>
            <w:r>
              <w:rPr>
                <w:b w:val="0"/>
                <w:i w:val="0"/>
                <w:color w:val="auto"/>
                <w:position w:val="-1"/>
                <w:sz w:val="20"/>
                <w:u w:val="none"/>
              </w:rPr>
              <w:t xml:space="preserve">  对企业补助费用</w:t>
            </w:r>
          </w:p>
        </w:tc>
        <w:tc>
          <w:tcPr>
            <w:tcW w:w="2458" w:type="dxa"/>
            <w:shd w:val="clear" w:color="FFFFFF" w:fill="FFFFFF"/>
          </w:tcPr>
          <w:p>
            <w:pPr>
              <w:pageBreakBefore w:val="0"/>
              <w:widowControl w:val="0"/>
              <w:jc w:val="right"/>
              <w:textAlignment w:val="auto"/>
            </w:pPr>
            <w:r>
              <w:rPr>
                <w:b w:val="0"/>
                <w:i w:val="0"/>
                <w:color w:val="auto"/>
                <w:position w:val="-1"/>
                <w:sz w:val="20"/>
                <w:u w:val="none"/>
              </w:rPr>
              <w:t>0.00</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27" w:type="dxa"/>
            <w:shd w:val="clear" w:color="FFFFFF" w:fill="FFFFFF"/>
          </w:tcPr>
          <w:p>
            <w:pPr>
              <w:pageBreakBefore w:val="0"/>
              <w:widowControl w:val="0"/>
              <w:jc w:val="left"/>
              <w:textAlignment w:val="auto"/>
            </w:pPr>
            <w:r>
              <w:rPr>
                <w:b w:val="0"/>
                <w:i w:val="0"/>
                <w:color w:val="auto"/>
                <w:position w:val="-1"/>
                <w:sz w:val="20"/>
                <w:u w:val="none"/>
              </w:rPr>
              <w:t xml:space="preserve">  固定资产折旧费用</w:t>
            </w:r>
          </w:p>
        </w:tc>
        <w:tc>
          <w:tcPr>
            <w:tcW w:w="2458" w:type="dxa"/>
            <w:shd w:val="clear" w:color="FFFFFF" w:fill="FFFFFF"/>
          </w:tcPr>
          <w:p>
            <w:pPr>
              <w:pageBreakBefore w:val="0"/>
              <w:widowControl w:val="0"/>
              <w:jc w:val="right"/>
              <w:textAlignment w:val="auto"/>
            </w:pPr>
            <w:r>
              <w:rPr>
                <w:b w:val="0"/>
                <w:i w:val="0"/>
                <w:color w:val="auto"/>
                <w:position w:val="-1"/>
                <w:sz w:val="20"/>
                <w:u w:val="none"/>
              </w:rPr>
              <w:t>74.52</w:t>
            </w:r>
          </w:p>
        </w:tc>
        <w:tc>
          <w:tcPr>
            <w:tcW w:w="2843" w:type="dxa"/>
            <w:shd w:val="clear" w:color="FFFFFF" w:fill="FFFFFF"/>
          </w:tcPr>
          <w:p>
            <w:pPr>
              <w:pageBreakBefore w:val="0"/>
              <w:widowControl w:val="0"/>
              <w:jc w:val="right"/>
              <w:textAlignment w:val="auto"/>
            </w:pPr>
            <w:r>
              <w:rPr>
                <w:b w:val="0"/>
                <w:i w:val="0"/>
                <w:color w:val="auto"/>
                <w:position w:val="-1"/>
                <w:sz w:val="20"/>
                <w:u w:val="none"/>
              </w:rPr>
              <w:t>61.77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27" w:type="dxa"/>
            <w:shd w:val="clear" w:color="FFFFFF" w:fill="FFFFFF"/>
          </w:tcPr>
          <w:p>
            <w:pPr>
              <w:pageBreakBefore w:val="0"/>
              <w:widowControl w:val="0"/>
              <w:jc w:val="left"/>
              <w:textAlignment w:val="auto"/>
            </w:pPr>
            <w:r>
              <w:rPr>
                <w:b w:val="0"/>
                <w:i w:val="0"/>
                <w:color w:val="auto"/>
                <w:position w:val="-1"/>
                <w:sz w:val="20"/>
                <w:u w:val="none"/>
              </w:rPr>
              <w:t xml:space="preserve">  无形资产摊销费用</w:t>
            </w:r>
          </w:p>
        </w:tc>
        <w:tc>
          <w:tcPr>
            <w:tcW w:w="2458" w:type="dxa"/>
            <w:shd w:val="clear" w:color="FFFFFF" w:fill="FFFFFF"/>
          </w:tcPr>
          <w:p>
            <w:pPr>
              <w:pageBreakBefore w:val="0"/>
              <w:widowControl w:val="0"/>
              <w:jc w:val="right"/>
              <w:textAlignment w:val="auto"/>
            </w:pPr>
            <w:r>
              <w:rPr>
                <w:b w:val="0"/>
                <w:i w:val="0"/>
                <w:color w:val="auto"/>
                <w:position w:val="-1"/>
                <w:sz w:val="20"/>
                <w:u w:val="none"/>
              </w:rPr>
              <w:t>3.10</w:t>
            </w:r>
          </w:p>
        </w:tc>
        <w:tc>
          <w:tcPr>
            <w:tcW w:w="2843" w:type="dxa"/>
            <w:shd w:val="clear" w:color="FFFFFF" w:fill="FFFFFF"/>
          </w:tcPr>
          <w:p>
            <w:pPr>
              <w:pageBreakBefore w:val="0"/>
              <w:widowControl w:val="0"/>
              <w:jc w:val="right"/>
              <w:textAlignment w:val="auto"/>
            </w:pPr>
            <w:r>
              <w:rPr>
                <w:b w:val="0"/>
                <w:i w:val="0"/>
                <w:color w:val="auto"/>
                <w:position w:val="-1"/>
                <w:sz w:val="20"/>
                <w:u w:val="none"/>
              </w:rPr>
              <w:t>0.54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27" w:type="dxa"/>
            <w:shd w:val="clear" w:color="FFFFFF" w:fill="FFFFFF"/>
          </w:tcPr>
          <w:p>
            <w:pPr>
              <w:pageBreakBefore w:val="0"/>
              <w:widowControl w:val="0"/>
              <w:jc w:val="left"/>
              <w:textAlignment w:val="auto"/>
            </w:pPr>
            <w:r>
              <w:rPr>
                <w:b w:val="0"/>
                <w:i w:val="0"/>
                <w:color w:val="auto"/>
                <w:position w:val="-1"/>
                <w:sz w:val="20"/>
                <w:u w:val="none"/>
              </w:rPr>
              <w:t xml:space="preserve">  公共基础设施折旧（摊销）费用</w:t>
            </w:r>
          </w:p>
        </w:tc>
        <w:tc>
          <w:tcPr>
            <w:tcW w:w="2458" w:type="dxa"/>
            <w:shd w:val="clear" w:color="FFFFFF" w:fill="FFFFFF"/>
          </w:tcPr>
          <w:p>
            <w:pPr>
              <w:pageBreakBefore w:val="0"/>
              <w:widowControl w:val="0"/>
              <w:jc w:val="right"/>
              <w:textAlignment w:val="auto"/>
            </w:pPr>
            <w:r>
              <w:rPr>
                <w:b w:val="0"/>
                <w:i w:val="0"/>
                <w:color w:val="auto"/>
                <w:position w:val="-1"/>
                <w:sz w:val="20"/>
                <w:u w:val="none"/>
              </w:rPr>
              <w:t>0.00</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27" w:type="dxa"/>
            <w:shd w:val="clear" w:color="FFFFFF" w:fill="FFFFFF"/>
          </w:tcPr>
          <w:p>
            <w:pPr>
              <w:pageBreakBefore w:val="0"/>
              <w:widowControl w:val="0"/>
              <w:jc w:val="left"/>
              <w:textAlignment w:val="auto"/>
            </w:pPr>
            <w:r>
              <w:rPr>
                <w:b w:val="0"/>
                <w:i w:val="0"/>
                <w:color w:val="auto"/>
                <w:position w:val="-1"/>
                <w:sz w:val="20"/>
                <w:u w:val="none"/>
              </w:rPr>
              <w:t xml:space="preserve">  保障性住房折旧费用</w:t>
            </w:r>
          </w:p>
        </w:tc>
        <w:tc>
          <w:tcPr>
            <w:tcW w:w="2458" w:type="dxa"/>
            <w:shd w:val="clear" w:color="FFFFFF" w:fill="FFFFFF"/>
          </w:tcPr>
          <w:p>
            <w:pPr>
              <w:pageBreakBefore w:val="0"/>
              <w:widowControl w:val="0"/>
              <w:jc w:val="right"/>
              <w:textAlignment w:val="auto"/>
            </w:pPr>
            <w:r>
              <w:rPr>
                <w:b w:val="0"/>
                <w:i w:val="0"/>
                <w:color w:val="auto"/>
                <w:position w:val="-1"/>
                <w:sz w:val="20"/>
                <w:u w:val="none"/>
              </w:rPr>
              <w:t>0.00</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27" w:type="dxa"/>
            <w:shd w:val="clear" w:color="FFFFFF" w:fill="FFFFFF"/>
          </w:tcPr>
          <w:p>
            <w:pPr>
              <w:pageBreakBefore w:val="0"/>
              <w:widowControl w:val="0"/>
              <w:jc w:val="left"/>
              <w:textAlignment w:val="auto"/>
            </w:pPr>
            <w:r>
              <w:rPr>
                <w:b w:val="0"/>
                <w:i w:val="0"/>
                <w:color w:val="auto"/>
                <w:position w:val="-1"/>
                <w:sz w:val="20"/>
                <w:u w:val="none"/>
              </w:rPr>
              <w:t xml:space="preserve">  计提专用基金</w:t>
            </w:r>
          </w:p>
        </w:tc>
        <w:tc>
          <w:tcPr>
            <w:tcW w:w="2458" w:type="dxa"/>
            <w:shd w:val="clear" w:color="FFFFFF" w:fill="FFFFFF"/>
          </w:tcPr>
          <w:p>
            <w:pPr>
              <w:pageBreakBefore w:val="0"/>
              <w:widowControl w:val="0"/>
              <w:jc w:val="right"/>
              <w:textAlignment w:val="auto"/>
            </w:pPr>
            <w:r>
              <w:rPr>
                <w:b w:val="0"/>
                <w:i w:val="0"/>
                <w:color w:val="auto"/>
                <w:position w:val="-1"/>
                <w:sz w:val="20"/>
                <w:u w:val="none"/>
              </w:rPr>
              <w:t>0.00</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27" w:type="dxa"/>
            <w:shd w:val="clear" w:color="FFFFFF" w:fill="FFFFFF"/>
          </w:tcPr>
          <w:p>
            <w:pPr>
              <w:pageBreakBefore w:val="0"/>
              <w:widowControl w:val="0"/>
              <w:jc w:val="left"/>
              <w:textAlignment w:val="auto"/>
            </w:pPr>
            <w:r>
              <w:rPr>
                <w:b w:val="0"/>
                <w:i w:val="0"/>
                <w:color w:val="auto"/>
                <w:position w:val="-1"/>
                <w:sz w:val="20"/>
                <w:u w:val="none"/>
              </w:rPr>
              <w:t xml:space="preserve">  其他业务活动费用</w:t>
            </w:r>
          </w:p>
        </w:tc>
        <w:tc>
          <w:tcPr>
            <w:tcW w:w="2458" w:type="dxa"/>
            <w:shd w:val="clear" w:color="FFFFFF" w:fill="FFFFFF"/>
          </w:tcPr>
          <w:p>
            <w:pPr>
              <w:pageBreakBefore w:val="0"/>
              <w:widowControl w:val="0"/>
              <w:jc w:val="right"/>
              <w:textAlignment w:val="auto"/>
            </w:pPr>
            <w:r>
              <w:rPr>
                <w:b w:val="0"/>
                <w:i w:val="0"/>
                <w:color w:val="auto"/>
                <w:position w:val="-1"/>
                <w:sz w:val="20"/>
                <w:u w:val="none"/>
              </w:rPr>
              <w:t>4.65</w:t>
            </w:r>
          </w:p>
        </w:tc>
        <w:tc>
          <w:tcPr>
            <w:tcW w:w="2843" w:type="dxa"/>
            <w:shd w:val="clear" w:color="FFFFFF" w:fill="FFFFFF"/>
          </w:tcPr>
          <w:p>
            <w:pPr>
              <w:pageBreakBefore w:val="0"/>
              <w:widowControl w:val="0"/>
              <w:jc w:val="right"/>
              <w:textAlignment w:val="auto"/>
            </w:pPr>
            <w:r>
              <w:rPr>
                <w:b w:val="0"/>
                <w:i w:val="0"/>
                <w:color w:val="auto"/>
                <w:position w:val="-1"/>
                <w:sz w:val="20"/>
                <w:u w:val="none"/>
              </w:rPr>
              <w:t>172.24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3227" w:type="dxa"/>
            <w:tcBorders>
              <w:top w:val="single" w:color="auto" w:sz="4" w:space="0"/>
              <w:bottom w:val="single" w:color="auto" w:sz="4" w:space="0"/>
            </w:tcBorders>
            <w:shd w:val="clear" w:color="FFFFFF" w:fill="FFFFFF"/>
          </w:tcPr>
          <w:p>
            <w:pPr>
              <w:pageBreakBefore w:val="0"/>
              <w:widowControl w:val="0"/>
              <w:jc w:val="center"/>
              <w:textAlignment w:val="auto"/>
            </w:pPr>
            <w:r>
              <w:rPr>
                <w:b/>
                <w:i w:val="0"/>
                <w:color w:val="auto"/>
                <w:position w:val="-1"/>
                <w:sz w:val="20"/>
                <w:u w:val="none"/>
              </w:rPr>
              <w:t>合计</w:t>
            </w:r>
          </w:p>
        </w:tc>
        <w:tc>
          <w:tcPr>
            <w:tcW w:w="2458" w:type="dxa"/>
            <w:tcBorders>
              <w:top w:val="single" w:color="auto" w:sz="4" w:space="0"/>
              <w:bottom w:val="single" w:color="auto" w:sz="4" w:space="0"/>
            </w:tcBorders>
            <w:shd w:val="clear" w:color="FFFFFF" w:fill="FFFFFF"/>
          </w:tcPr>
          <w:p>
            <w:pPr>
              <w:pageBreakBefore w:val="0"/>
              <w:widowControl w:val="0"/>
              <w:jc w:val="right"/>
              <w:textAlignment w:val="auto"/>
            </w:pPr>
            <w:r>
              <w:rPr>
                <w:b w:val="0"/>
                <w:i w:val="0"/>
                <w:color w:val="auto"/>
                <w:position w:val="-1"/>
                <w:sz w:val="20"/>
                <w:u w:val="none"/>
              </w:rPr>
              <w:t>1,368.60</w:t>
            </w:r>
          </w:p>
        </w:tc>
        <w:tc>
          <w:tcPr>
            <w:tcW w:w="2843" w:type="dxa"/>
            <w:tcBorders>
              <w:top w:val="single" w:color="auto" w:sz="4" w:space="0"/>
              <w:bottom w:val="single" w:color="auto" w:sz="4" w:space="0"/>
            </w:tcBorders>
            <w:shd w:val="clear" w:color="FFFFFF" w:fill="FFFFFF"/>
          </w:tcPr>
          <w:p>
            <w:pPr>
              <w:pageBreakBefore w:val="0"/>
              <w:widowControl w:val="0"/>
              <w:jc w:val="right"/>
              <w:textAlignment w:val="auto"/>
            </w:pPr>
            <w:r>
              <w:rPr>
                <w:b w:val="0"/>
                <w:i w:val="0"/>
                <w:color w:val="auto"/>
                <w:position w:val="-1"/>
                <w:sz w:val="20"/>
                <w:u w:val="none"/>
              </w:rPr>
              <w:t>1,207.40</w:t>
            </w:r>
          </w:p>
        </w:tc>
      </w:tr>
    </w:tbl>
    <w:p/>
    <w:p>
      <w:pPr>
        <w:pStyle w:val="111"/>
        <w:ind w:firstLine="600"/>
        <w:outlineLvl w:val="3"/>
        <w:rPr>
          <w:rFonts w:ascii="宋体" w:hAnsi="宋体" w:eastAsia="宋体"/>
        </w:rPr>
      </w:pPr>
      <w:r>
        <w:rPr>
          <w:rFonts w:hint="eastAsia" w:ascii="宋体" w:hAnsi="宋体" w:eastAsia="宋体"/>
        </w:rPr>
        <w:t>（22）单位管理费用明细信息如下：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w:t>
            </w:r>
            <w:r>
              <w:rPr>
                <w:sz w:val="22"/>
                <w:szCs w:val="22"/>
              </w:rPr>
              <w:t>2</w:t>
            </w:r>
            <w:r>
              <w:rPr>
                <w:rFonts w:hint="eastAsia"/>
                <w:sz w:val="22"/>
                <w:szCs w:val="22"/>
              </w:rPr>
              <w:t>2</w:t>
            </w:r>
          </w:p>
          <w:p>
            <w:pPr>
              <w:rPr>
                <w:sz w:val="22"/>
                <w:szCs w:val="22"/>
              </w:rPr>
            </w:pP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center"/>
              <w:rPr>
                <w:b/>
                <w:bCs/>
                <w:sz w:val="22"/>
                <w:szCs w:val="22"/>
              </w:rPr>
            </w:pPr>
            <w:r>
              <w:rPr>
                <w:rFonts w:hint="eastAsia"/>
                <w:b/>
                <w:bCs/>
                <w:sz w:val="22"/>
                <w:szCs w:val="22"/>
              </w:rPr>
              <w:t>单位管理费用明细表</w:t>
            </w: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right"/>
              <w:rPr>
                <w:b/>
                <w:bCs/>
                <w:sz w:val="20"/>
                <w:szCs w:val="20"/>
              </w:rPr>
            </w:pPr>
            <w:r>
              <w:rPr>
                <w:rFonts w:hint="eastAsia"/>
                <w:sz w:val="20"/>
                <w:szCs w:val="20"/>
              </w:rPr>
              <w:t>单位：万元</w:t>
            </w:r>
          </w:p>
        </w:tc>
      </w:tr>
    </w:tbl>
    <w:p>
      <w:pPr>
        <w:tabs>
          <w:tab w:val="left" w:pos="4242"/>
          <w:tab w:val="left" w:pos="6754"/>
        </w:tabs>
        <w:spacing w:line="20" w:lineRule="exact"/>
        <w:rPr>
          <w:b/>
          <w:bCs/>
          <w:sz w:val="20"/>
          <w:szCs w:val="20"/>
        </w:rPr>
      </w:pPr>
    </w:p>
    <w:tbl>
      <w:tblPr>
        <w:tblStyle w:val="36"/>
        <w:tblW w:w="85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42"/>
        <w:gridCol w:w="2843"/>
        <w:gridCol w:w="28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2" w:type="dxa"/>
            <w:tcBorders>
              <w:top w:val="single" w:color="auto" w:sz="4" w:space="0"/>
              <w:bottom w:val="single" w:color="auto" w:sz="4" w:space="0"/>
            </w:tcBorders>
            <w:shd w:val="clear" w:color="FFFFFF" w:fill="FFFFFF"/>
          </w:tcPr>
          <w:p>
            <w:pPr>
              <w:widowControl/>
              <w:jc w:val="center"/>
              <w:rPr>
                <w:b/>
                <w:bCs/>
                <w:sz w:val="20"/>
                <w:szCs w:val="20"/>
              </w:rPr>
            </w:pPr>
            <w:r>
              <w:rPr>
                <w:rFonts w:hint="eastAsia"/>
                <w:b/>
                <w:bCs/>
                <w:sz w:val="20"/>
                <w:szCs w:val="20"/>
              </w:rPr>
              <w:t>项目</w:t>
            </w:r>
          </w:p>
        </w:tc>
        <w:tc>
          <w:tcPr>
            <w:tcW w:w="2843" w:type="dxa"/>
            <w:tcBorders>
              <w:top w:val="single" w:color="auto" w:sz="4" w:space="0"/>
              <w:bottom w:val="single" w:color="auto" w:sz="4" w:space="0"/>
            </w:tcBorders>
            <w:shd w:val="clear" w:color="FFFFFF" w:fill="FFFFFF"/>
          </w:tcPr>
          <w:p>
            <w:pPr>
              <w:widowControl w:val="0"/>
              <w:jc w:val="center"/>
              <w:rPr>
                <w:b/>
                <w:bCs/>
                <w:sz w:val="20"/>
                <w:szCs w:val="20"/>
              </w:rPr>
            </w:pPr>
            <w:r>
              <w:rPr>
                <w:rFonts w:hint="eastAsia"/>
                <w:b/>
                <w:bCs/>
                <w:sz w:val="20"/>
                <w:szCs w:val="20"/>
              </w:rPr>
              <w:t>本年数</w:t>
            </w:r>
          </w:p>
        </w:tc>
        <w:tc>
          <w:tcPr>
            <w:tcW w:w="2843" w:type="dxa"/>
            <w:tcBorders>
              <w:top w:val="single" w:color="auto" w:sz="4" w:space="0"/>
              <w:bottom w:val="single" w:color="auto" w:sz="4" w:space="0"/>
            </w:tcBorders>
            <w:shd w:val="clear" w:color="FFFFFF" w:fill="FFFFFF"/>
          </w:tcPr>
          <w:p>
            <w:pPr>
              <w:widowControl w:val="0"/>
              <w:jc w:val="center"/>
              <w:rPr>
                <w:b/>
                <w:bCs/>
                <w:sz w:val="20"/>
                <w:szCs w:val="20"/>
              </w:rPr>
            </w:pPr>
            <w:r>
              <w:rPr>
                <w:rFonts w:hint="eastAsia"/>
                <w:b/>
                <w:bCs/>
                <w:sz w:val="20"/>
                <w:szCs w:val="20"/>
              </w:rPr>
              <w:t>上年数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exact"/>
        </w:trPr>
        <w:tc>
          <w:tcPr>
            <w:tcW w:w="2842" w:type="dxa"/>
            <w:tcBorders>
              <w:top w:val="single" w:color="auto" w:sz="4" w:space="0"/>
            </w:tcBorders>
            <w:shd w:val="clear" w:color="FFFFFF" w:fill="FFFFFF"/>
          </w:tcPr>
          <w:p>
            <w:pPr>
              <w:widowControl w:val="0"/>
              <w:jc w:val="both"/>
            </w:pPr>
          </w:p>
        </w:tc>
        <w:tc>
          <w:tcPr>
            <w:tcW w:w="2843" w:type="dxa"/>
            <w:tcBorders>
              <w:top w:val="single" w:color="auto" w:sz="4" w:space="0"/>
            </w:tcBorders>
            <w:shd w:val="clear" w:color="FFFFFF" w:fill="FFFFFF"/>
          </w:tcPr>
          <w:p>
            <w:pPr>
              <w:widowControl w:val="0"/>
              <w:jc w:val="both"/>
            </w:pPr>
          </w:p>
        </w:tc>
        <w:tc>
          <w:tcPr>
            <w:tcW w:w="2843" w:type="dxa"/>
            <w:tcBorders>
              <w:top w:val="single" w:color="auto" w:sz="4" w:space="0"/>
            </w:tcBorders>
            <w:shd w:val="clear" w:color="FFFFFF" w:fill="FFFFFF"/>
          </w:tcPr>
          <w:p>
            <w:pPr>
              <w:widowControl w:val="0"/>
              <w:jc w:val="both"/>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842" w:type="dxa"/>
            <w:shd w:val="clear" w:color="FFFFFF" w:fill="FFFFFF"/>
          </w:tcPr>
          <w:p>
            <w:pPr>
              <w:pageBreakBefore w:val="0"/>
              <w:widowControl w:val="0"/>
              <w:jc w:val="left"/>
              <w:textAlignment w:val="auto"/>
            </w:pPr>
            <w:r>
              <w:rPr>
                <w:b w:val="0"/>
                <w:i w:val="0"/>
                <w:color w:val="auto"/>
                <w:position w:val="-1"/>
                <w:sz w:val="20"/>
                <w:u w:val="none"/>
              </w:rPr>
              <w:t xml:space="preserve">  工资和福利费用</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c>
          <w:tcPr>
            <w:tcW w:w="2843" w:type="dxa"/>
            <w:shd w:val="clear" w:color="FFFFFF" w:fill="FFFFFF"/>
          </w:tcPr>
          <w:p>
            <w:pPr>
              <w:pageBreakBefore w:val="0"/>
              <w:widowControl w:val="0"/>
              <w:jc w:val="right"/>
              <w:textAlignment w:val="auto"/>
            </w:pPr>
            <w:r>
              <w:rPr>
                <w:b w:val="0"/>
                <w:i w:val="0"/>
                <w:color w:val="auto"/>
                <w:position w:val="-1"/>
                <w:sz w:val="20"/>
                <w:u w:val="none"/>
              </w:rPr>
              <w:t>0.36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842" w:type="dxa"/>
            <w:shd w:val="clear" w:color="FFFFFF" w:fill="FFFFFF"/>
          </w:tcPr>
          <w:p>
            <w:pPr>
              <w:pageBreakBefore w:val="0"/>
              <w:widowControl w:val="0"/>
              <w:jc w:val="left"/>
              <w:textAlignment w:val="auto"/>
            </w:pPr>
            <w:r>
              <w:rPr>
                <w:b w:val="0"/>
                <w:i w:val="0"/>
                <w:color w:val="auto"/>
                <w:position w:val="-1"/>
                <w:sz w:val="20"/>
                <w:u w:val="none"/>
              </w:rPr>
              <w:t xml:space="preserve">  商品和服务费用</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842" w:type="dxa"/>
            <w:shd w:val="clear" w:color="FFFFFF" w:fill="FFFFFF"/>
          </w:tcPr>
          <w:p>
            <w:pPr>
              <w:pageBreakBefore w:val="0"/>
              <w:widowControl w:val="0"/>
              <w:jc w:val="left"/>
              <w:textAlignment w:val="auto"/>
            </w:pPr>
            <w:r>
              <w:rPr>
                <w:b w:val="0"/>
                <w:i w:val="0"/>
                <w:color w:val="auto"/>
                <w:position w:val="-1"/>
                <w:sz w:val="20"/>
                <w:u w:val="none"/>
              </w:rPr>
              <w:t xml:space="preserve">  对个人和家庭的补助费用</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842" w:type="dxa"/>
            <w:shd w:val="clear" w:color="FFFFFF" w:fill="FFFFFF"/>
          </w:tcPr>
          <w:p>
            <w:pPr>
              <w:pageBreakBefore w:val="0"/>
              <w:widowControl w:val="0"/>
              <w:jc w:val="left"/>
              <w:textAlignment w:val="auto"/>
            </w:pPr>
            <w:r>
              <w:rPr>
                <w:b w:val="0"/>
                <w:i w:val="0"/>
                <w:color w:val="auto"/>
                <w:position w:val="-1"/>
                <w:sz w:val="20"/>
                <w:u w:val="none"/>
              </w:rPr>
              <w:t xml:space="preserve">  固定资产折旧费用</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842" w:type="dxa"/>
            <w:shd w:val="clear" w:color="FFFFFF" w:fill="FFFFFF"/>
          </w:tcPr>
          <w:p>
            <w:pPr>
              <w:pageBreakBefore w:val="0"/>
              <w:widowControl w:val="0"/>
              <w:jc w:val="left"/>
              <w:textAlignment w:val="auto"/>
            </w:pPr>
            <w:r>
              <w:rPr>
                <w:b w:val="0"/>
                <w:i w:val="0"/>
                <w:color w:val="auto"/>
                <w:position w:val="-1"/>
                <w:sz w:val="20"/>
                <w:u w:val="none"/>
              </w:rPr>
              <w:t xml:space="preserve">  无形资产摊销费用</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842" w:type="dxa"/>
            <w:shd w:val="clear" w:color="FFFFFF" w:fill="FFFFFF"/>
          </w:tcPr>
          <w:p>
            <w:pPr>
              <w:pageBreakBefore w:val="0"/>
              <w:widowControl w:val="0"/>
              <w:jc w:val="left"/>
              <w:textAlignment w:val="auto"/>
            </w:pPr>
            <w:r>
              <w:rPr>
                <w:b w:val="0"/>
                <w:i w:val="0"/>
                <w:color w:val="auto"/>
                <w:position w:val="-1"/>
                <w:sz w:val="20"/>
                <w:u w:val="none"/>
              </w:rPr>
              <w:t xml:space="preserve">  其他单位管理费用</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c>
          <w:tcPr>
            <w:tcW w:w="2843" w:type="dxa"/>
            <w:shd w:val="clear" w:color="FFFFFF" w:fill="FFFFFF"/>
          </w:tcPr>
          <w:p>
            <w:pPr>
              <w:pageBreakBefore w:val="0"/>
              <w:widowControl w:val="0"/>
              <w:jc w:val="right"/>
              <w:textAlignment w:val="auto"/>
            </w:pPr>
            <w:r>
              <w:rPr>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2842" w:type="dxa"/>
            <w:tcBorders>
              <w:top w:val="single" w:color="auto" w:sz="4" w:space="0"/>
              <w:bottom w:val="single" w:color="auto" w:sz="4" w:space="0"/>
            </w:tcBorders>
            <w:shd w:val="clear" w:color="FFFFFF" w:fill="FFFFFF"/>
          </w:tcPr>
          <w:p>
            <w:pPr>
              <w:pageBreakBefore w:val="0"/>
              <w:widowControl w:val="0"/>
              <w:jc w:val="center"/>
              <w:textAlignment w:val="auto"/>
            </w:pPr>
            <w:r>
              <w:rPr>
                <w:b/>
                <w:i w:val="0"/>
                <w:color w:val="auto"/>
                <w:position w:val="-1"/>
                <w:sz w:val="20"/>
                <w:u w:val="none"/>
              </w:rPr>
              <w:t>合计</w:t>
            </w:r>
          </w:p>
        </w:tc>
        <w:tc>
          <w:tcPr>
            <w:tcW w:w="2843" w:type="dxa"/>
            <w:tcBorders>
              <w:top w:val="single" w:color="auto" w:sz="4" w:space="0"/>
              <w:bottom w:val="single" w:color="auto" w:sz="4" w:space="0"/>
            </w:tcBorders>
            <w:shd w:val="clear" w:color="FFFFFF" w:fill="FFFFFF"/>
          </w:tcPr>
          <w:p>
            <w:pPr>
              <w:pageBreakBefore w:val="0"/>
              <w:widowControl w:val="0"/>
              <w:jc w:val="right"/>
              <w:textAlignment w:val="auto"/>
            </w:pPr>
            <w:r>
              <w:rPr>
                <w:b w:val="0"/>
                <w:i w:val="0"/>
                <w:color w:val="auto"/>
                <w:position w:val="-1"/>
                <w:sz w:val="20"/>
                <w:u w:val="none"/>
              </w:rPr>
              <w:t>0.00</w:t>
            </w:r>
          </w:p>
        </w:tc>
        <w:tc>
          <w:tcPr>
            <w:tcW w:w="2843" w:type="dxa"/>
            <w:tcBorders>
              <w:top w:val="single" w:color="auto" w:sz="4" w:space="0"/>
              <w:bottom w:val="single" w:color="auto" w:sz="4" w:space="0"/>
            </w:tcBorders>
            <w:shd w:val="clear" w:color="FFFFFF" w:fill="FFFFFF"/>
          </w:tcPr>
          <w:p>
            <w:pPr>
              <w:pageBreakBefore w:val="0"/>
              <w:widowControl w:val="0"/>
              <w:jc w:val="right"/>
              <w:textAlignment w:val="auto"/>
            </w:pPr>
            <w:r>
              <w:rPr>
                <w:b w:val="0"/>
                <w:i w:val="0"/>
                <w:color w:val="auto"/>
                <w:position w:val="-1"/>
                <w:sz w:val="20"/>
                <w:u w:val="none"/>
              </w:rPr>
              <w:t>0.36</w:t>
            </w:r>
          </w:p>
        </w:tc>
      </w:tr>
    </w:tbl>
    <w:p>
      <w:pPr>
        <w:rPr>
          <w:b/>
          <w:bCs/>
          <w:sz w:val="22"/>
          <w:szCs w:val="22"/>
        </w:rPr>
      </w:pPr>
    </w:p>
    <w:p>
      <w:pPr>
        <w:pStyle w:val="111"/>
        <w:ind w:firstLine="600"/>
        <w:outlineLvl w:val="3"/>
        <w:rPr>
          <w:rFonts w:ascii="宋体" w:hAnsi="宋体" w:eastAsia="宋体"/>
        </w:rPr>
      </w:pPr>
      <w:r>
        <w:rPr>
          <w:rFonts w:hint="eastAsia" w:ascii="宋体" w:hAnsi="宋体" w:eastAsia="宋体"/>
        </w:rPr>
        <w:t>（23）经营费用明细信息如下：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794"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w:t>
            </w:r>
            <w:r>
              <w:rPr>
                <w:sz w:val="22"/>
                <w:szCs w:val="22"/>
              </w:rPr>
              <w:t>2</w:t>
            </w:r>
            <w:r>
              <w:rPr>
                <w:rFonts w:hint="eastAsia"/>
                <w:sz w:val="22"/>
                <w:szCs w:val="22"/>
              </w:rPr>
              <w:t>3</w:t>
            </w:r>
          </w:p>
          <w:p>
            <w:pPr>
              <w:jc w:val="center"/>
              <w:rPr>
                <w:sz w:val="22"/>
                <w:szCs w:val="22"/>
              </w:rPr>
            </w:pPr>
            <w:r>
              <w:rPr>
                <w:rFonts w:ascii="宋体" w:hAnsi="宋体" w:eastAsia="宋体" w:cs="宋体"/>
                <w:sz w:val="22"/>
              </w:rPr>
              <w:t>附表23为空表（略）</w:t>
            </w:r>
          </w:p>
        </w:tc>
      </w:tr>
    </w:tbl>
    <w:p>
      <w:pPr>
        <w:tabs>
          <w:tab w:val="left" w:pos="4242"/>
          <w:tab w:val="left" w:pos="6754"/>
        </w:tabs>
        <w:spacing w:line="20" w:lineRule="exact"/>
        <w:rPr>
          <w:b/>
          <w:bCs/>
          <w:sz w:val="20"/>
          <w:szCs w:val="20"/>
        </w:rPr>
      </w:pPr>
    </w:p>
    <w:p/>
    <w:p>
      <w:pPr>
        <w:pStyle w:val="111"/>
        <w:ind w:firstLine="600"/>
        <w:outlineLvl w:val="3"/>
        <w:rPr>
          <w:rFonts w:ascii="宋体" w:hAnsi="宋体" w:eastAsia="宋体"/>
        </w:rPr>
      </w:pPr>
      <w:r>
        <w:rPr>
          <w:rFonts w:hint="eastAsia" w:ascii="宋体" w:hAnsi="宋体" w:eastAsia="宋体"/>
        </w:rPr>
        <w:t>（24）商品和服务费用明细信息如下：</w:t>
      </w:r>
    </w:p>
    <w:tbl>
      <w:tblPr>
        <w:tblStyle w:val="35"/>
        <w:tblW w:w="8528" w:type="dxa"/>
        <w:jc w:val="center"/>
        <w:tblLayout w:type="fixed"/>
        <w:tblCellMar>
          <w:top w:w="0" w:type="dxa"/>
          <w:left w:w="108" w:type="dxa"/>
          <w:bottom w:w="0" w:type="dxa"/>
          <w:right w:w="108" w:type="dxa"/>
        </w:tblCellMar>
      </w:tblPr>
      <w:tblGrid>
        <w:gridCol w:w="8528"/>
      </w:tblGrid>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rPr>
                <w:sz w:val="22"/>
                <w:szCs w:val="22"/>
              </w:rPr>
            </w:pPr>
            <w:r>
              <w:rPr>
                <w:rFonts w:hint="eastAsia"/>
                <w:sz w:val="22"/>
                <w:szCs w:val="22"/>
              </w:rPr>
              <w:t>附表</w:t>
            </w:r>
            <w:r>
              <w:rPr>
                <w:sz w:val="22"/>
                <w:szCs w:val="22"/>
              </w:rPr>
              <w:t>2</w:t>
            </w:r>
            <w:r>
              <w:rPr>
                <w:rFonts w:hint="eastAsia"/>
                <w:sz w:val="22"/>
                <w:szCs w:val="22"/>
              </w:rPr>
              <w:t>4</w:t>
            </w:r>
          </w:p>
          <w:p>
            <w:pPr>
              <w:rPr>
                <w:sz w:val="22"/>
                <w:szCs w:val="22"/>
              </w:rPr>
            </w:pP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center"/>
              <w:rPr>
                <w:b/>
                <w:bCs/>
                <w:sz w:val="22"/>
                <w:szCs w:val="22"/>
              </w:rPr>
            </w:pPr>
            <w:r>
              <w:rPr>
                <w:rFonts w:hint="eastAsia"/>
                <w:b/>
                <w:bCs/>
                <w:sz w:val="22"/>
                <w:szCs w:val="22"/>
              </w:rPr>
              <w:t>商品和服务费用明细表</w:t>
            </w:r>
          </w:p>
        </w:tc>
      </w:tr>
      <w:tr>
        <w:tblPrEx>
          <w:tblCellMar>
            <w:top w:w="0" w:type="dxa"/>
            <w:left w:w="108" w:type="dxa"/>
            <w:bottom w:w="0" w:type="dxa"/>
            <w:right w:w="108" w:type="dxa"/>
          </w:tblCellMar>
        </w:tblPrEx>
        <w:trPr>
          <w:trHeight w:val="397" w:hRule="exact"/>
          <w:jc w:val="center"/>
        </w:trPr>
        <w:tc>
          <w:tcPr>
            <w:tcW w:w="8528" w:type="dxa"/>
            <w:tcBorders>
              <w:top w:val="nil"/>
              <w:left w:val="nil"/>
              <w:bottom w:val="nil"/>
              <w:right w:val="nil"/>
            </w:tcBorders>
            <w:shd w:val="clear" w:color="FFFFFF" w:fill="FFFFFF"/>
            <w:vAlign w:val="center"/>
          </w:tcPr>
          <w:p>
            <w:pPr>
              <w:jc w:val="right"/>
              <w:rPr>
                <w:b/>
                <w:bCs/>
                <w:sz w:val="20"/>
                <w:szCs w:val="20"/>
              </w:rPr>
            </w:pPr>
            <w:r>
              <w:rPr>
                <w:rFonts w:hint="eastAsia"/>
                <w:sz w:val="20"/>
                <w:szCs w:val="20"/>
              </w:rPr>
              <w:t>单位：万元</w:t>
            </w:r>
          </w:p>
        </w:tc>
      </w:tr>
    </w:tbl>
    <w:p>
      <w:pPr>
        <w:spacing w:line="20" w:lineRule="exact"/>
        <w:jc w:val="right"/>
        <w:rPr>
          <w:sz w:val="20"/>
          <w:szCs w:val="20"/>
        </w:rPr>
      </w:pPr>
    </w:p>
    <w:tbl>
      <w:tblPr>
        <w:tblStyle w:val="36"/>
        <w:tblW w:w="85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77"/>
        <w:gridCol w:w="993"/>
        <w:gridCol w:w="1275"/>
        <w:gridCol w:w="1276"/>
        <w:gridCol w:w="9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77" w:type="dxa"/>
            <w:vMerge w:val="restart"/>
            <w:tcBorders>
              <w:top w:val="single" w:color="auto" w:sz="4" w:space="0"/>
            </w:tcBorders>
            <w:shd w:val="clear" w:color="FFFFFF" w:fill="FFFFFF"/>
          </w:tcPr>
          <w:p>
            <w:pPr>
              <w:widowControl w:val="0"/>
              <w:spacing w:line="480" w:lineRule="auto"/>
              <w:jc w:val="center"/>
              <w:rPr>
                <w:sz w:val="22"/>
                <w:szCs w:val="22"/>
              </w:rPr>
            </w:pPr>
            <w:r>
              <w:rPr>
                <w:rFonts w:hint="eastAsia"/>
                <w:sz w:val="22"/>
                <w:szCs w:val="22"/>
              </w:rPr>
              <w:t>项目</w:t>
            </w:r>
          </w:p>
        </w:tc>
        <w:tc>
          <w:tcPr>
            <w:tcW w:w="4451" w:type="dxa"/>
            <w:gridSpan w:val="4"/>
            <w:tcBorders>
              <w:top w:val="single" w:color="auto" w:sz="4" w:space="0"/>
              <w:bottom w:val="single" w:color="auto" w:sz="4" w:space="0"/>
            </w:tcBorders>
            <w:shd w:val="clear" w:color="FFFFFF" w:fill="FFFFFF"/>
          </w:tcPr>
          <w:p>
            <w:pPr>
              <w:widowControl w:val="0"/>
              <w:jc w:val="center"/>
              <w:rPr>
                <w:sz w:val="22"/>
                <w:szCs w:val="22"/>
              </w:rPr>
            </w:pPr>
            <w:r>
              <w:rPr>
                <w:rFonts w:hint="eastAsia"/>
                <w:sz w:val="22"/>
                <w:szCs w:val="22"/>
              </w:rPr>
              <w:t>本年数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77" w:type="dxa"/>
            <w:vMerge w:val="continue"/>
            <w:tcBorders>
              <w:bottom w:val="single" w:color="auto" w:sz="4" w:space="0"/>
            </w:tcBorders>
            <w:shd w:val="clear" w:color="FFFFFF" w:fill="FFFFFF"/>
          </w:tcPr>
          <w:p>
            <w:pPr>
              <w:widowControl w:val="0"/>
              <w:jc w:val="center"/>
              <w:rPr>
                <w:sz w:val="22"/>
                <w:szCs w:val="22"/>
              </w:rPr>
            </w:pPr>
          </w:p>
        </w:tc>
        <w:tc>
          <w:tcPr>
            <w:tcW w:w="993" w:type="dxa"/>
            <w:tcBorders>
              <w:top w:val="single" w:color="auto" w:sz="4" w:space="0"/>
              <w:bottom w:val="single" w:color="auto" w:sz="4" w:space="0"/>
            </w:tcBorders>
            <w:shd w:val="clear" w:color="FFFFFF" w:fill="FFFFFF"/>
          </w:tcPr>
          <w:p>
            <w:pPr>
              <w:widowControl w:val="0"/>
              <w:spacing w:line="480" w:lineRule="auto"/>
              <w:jc w:val="center"/>
              <w:rPr>
                <w:sz w:val="22"/>
                <w:szCs w:val="22"/>
              </w:rPr>
            </w:pPr>
            <w:r>
              <w:rPr>
                <w:rFonts w:hint="eastAsia"/>
                <w:sz w:val="22"/>
                <w:szCs w:val="22"/>
              </w:rPr>
              <w:t>合计</w:t>
            </w:r>
          </w:p>
        </w:tc>
        <w:tc>
          <w:tcPr>
            <w:tcW w:w="1275" w:type="dxa"/>
            <w:tcBorders>
              <w:top w:val="single" w:color="auto" w:sz="4" w:space="0"/>
              <w:bottom w:val="single" w:color="auto" w:sz="4" w:space="0"/>
            </w:tcBorders>
            <w:shd w:val="clear" w:color="FFFFFF" w:fill="FFFFFF"/>
          </w:tcPr>
          <w:p>
            <w:pPr>
              <w:widowControl w:val="0"/>
              <w:jc w:val="center"/>
              <w:rPr>
                <w:sz w:val="22"/>
                <w:szCs w:val="22"/>
              </w:rPr>
            </w:pPr>
            <w:r>
              <w:rPr>
                <w:rFonts w:hint="eastAsia"/>
                <w:sz w:val="22"/>
                <w:szCs w:val="22"/>
              </w:rPr>
              <w:t>业务活动费用</w:t>
            </w:r>
          </w:p>
        </w:tc>
        <w:tc>
          <w:tcPr>
            <w:tcW w:w="1276" w:type="dxa"/>
            <w:tcBorders>
              <w:top w:val="single" w:color="auto" w:sz="4" w:space="0"/>
              <w:bottom w:val="single" w:color="auto" w:sz="4" w:space="0"/>
            </w:tcBorders>
            <w:shd w:val="clear" w:color="FFFFFF" w:fill="FFFFFF"/>
          </w:tcPr>
          <w:p>
            <w:pPr>
              <w:widowControl w:val="0"/>
              <w:jc w:val="center"/>
              <w:rPr>
                <w:sz w:val="22"/>
                <w:szCs w:val="22"/>
              </w:rPr>
            </w:pPr>
            <w:r>
              <w:rPr>
                <w:rFonts w:hint="eastAsia"/>
                <w:sz w:val="22"/>
                <w:szCs w:val="22"/>
              </w:rPr>
              <w:t>单位管理费用</w:t>
            </w:r>
          </w:p>
        </w:tc>
        <w:tc>
          <w:tcPr>
            <w:tcW w:w="907" w:type="dxa"/>
            <w:tcBorders>
              <w:top w:val="single" w:color="auto" w:sz="4" w:space="0"/>
              <w:bottom w:val="single" w:color="auto" w:sz="4" w:space="0"/>
            </w:tcBorders>
            <w:shd w:val="clear" w:color="FFFFFF" w:fill="FFFFFF"/>
          </w:tcPr>
          <w:p>
            <w:pPr>
              <w:widowControl w:val="0"/>
              <w:jc w:val="center"/>
              <w:rPr>
                <w:sz w:val="22"/>
                <w:szCs w:val="22"/>
              </w:rPr>
            </w:pPr>
            <w:r>
              <w:rPr>
                <w:rFonts w:hint="eastAsia"/>
                <w:sz w:val="22"/>
                <w:szCs w:val="22"/>
              </w:rPr>
              <w:t>经营</w:t>
            </w:r>
          </w:p>
          <w:p>
            <w:pPr>
              <w:widowControl w:val="0"/>
              <w:jc w:val="center"/>
              <w:rPr>
                <w:sz w:val="22"/>
                <w:szCs w:val="22"/>
              </w:rPr>
            </w:pPr>
            <w:r>
              <w:rPr>
                <w:rFonts w:hint="eastAsia"/>
                <w:sz w:val="22"/>
                <w:szCs w:val="22"/>
              </w:rPr>
              <w:t>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exact"/>
        </w:trPr>
        <w:tc>
          <w:tcPr>
            <w:tcW w:w="4077" w:type="dxa"/>
            <w:tcBorders>
              <w:top w:val="single" w:color="auto" w:sz="4" w:space="0"/>
            </w:tcBorders>
            <w:shd w:val="clear" w:color="FFFFFF" w:fill="FFFFFF"/>
          </w:tcPr>
          <w:p>
            <w:pPr>
              <w:widowControl w:val="0"/>
              <w:jc w:val="both"/>
              <w:rPr>
                <w:sz w:val="22"/>
                <w:szCs w:val="22"/>
              </w:rPr>
            </w:pPr>
          </w:p>
        </w:tc>
        <w:tc>
          <w:tcPr>
            <w:tcW w:w="993" w:type="dxa"/>
            <w:tcBorders>
              <w:top w:val="single" w:color="auto" w:sz="4" w:space="0"/>
            </w:tcBorders>
            <w:shd w:val="clear" w:color="FFFFFF" w:fill="FFFFFF"/>
          </w:tcPr>
          <w:p>
            <w:pPr>
              <w:widowControl w:val="0"/>
              <w:jc w:val="both"/>
              <w:rPr>
                <w:sz w:val="22"/>
                <w:szCs w:val="22"/>
              </w:rPr>
            </w:pPr>
          </w:p>
        </w:tc>
        <w:tc>
          <w:tcPr>
            <w:tcW w:w="1275" w:type="dxa"/>
            <w:tcBorders>
              <w:top w:val="single" w:color="auto" w:sz="4" w:space="0"/>
            </w:tcBorders>
            <w:shd w:val="clear" w:color="FFFFFF" w:fill="FFFFFF"/>
          </w:tcPr>
          <w:p>
            <w:pPr>
              <w:widowControl w:val="0"/>
              <w:jc w:val="both"/>
              <w:rPr>
                <w:sz w:val="22"/>
                <w:szCs w:val="22"/>
              </w:rPr>
            </w:pPr>
          </w:p>
        </w:tc>
        <w:tc>
          <w:tcPr>
            <w:tcW w:w="1276" w:type="dxa"/>
            <w:tcBorders>
              <w:top w:val="single" w:color="auto" w:sz="4" w:space="0"/>
            </w:tcBorders>
            <w:shd w:val="clear" w:color="FFFFFF" w:fill="FFFFFF"/>
          </w:tcPr>
          <w:p>
            <w:pPr>
              <w:widowControl w:val="0"/>
              <w:jc w:val="both"/>
              <w:rPr>
                <w:sz w:val="22"/>
                <w:szCs w:val="22"/>
              </w:rPr>
            </w:pPr>
          </w:p>
        </w:tc>
        <w:tc>
          <w:tcPr>
            <w:tcW w:w="907" w:type="dxa"/>
            <w:tcBorders>
              <w:top w:val="single" w:color="auto" w:sz="4" w:space="0"/>
            </w:tcBorders>
            <w:shd w:val="clear" w:color="FFFFFF" w:fill="FFFFFF"/>
          </w:tcPr>
          <w:p>
            <w:pPr>
              <w:widowControl w:val="0"/>
              <w:jc w:val="both"/>
              <w:rPr>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077" w:type="dxa"/>
            <w:shd w:val="clear" w:color="FFFFFF" w:fill="FFFFFF"/>
          </w:tcPr>
          <w:p>
            <w:pPr>
              <w:pageBreakBefore w:val="0"/>
              <w:widowControl w:val="0"/>
              <w:jc w:val="left"/>
              <w:textAlignment w:val="auto"/>
            </w:pPr>
            <w:r>
              <w:rPr>
                <w:rFonts w:ascii="Times New Roman" w:hAnsi="Times New Roman" w:eastAsia="Times New Roman" w:cs="Times New Roman"/>
                <w:b/>
                <w:i w:val="0"/>
                <w:color w:val="auto"/>
                <w:position w:val="-1"/>
                <w:sz w:val="20"/>
                <w:u w:val="none"/>
              </w:rPr>
              <w:t>支付给部门内部单位</w:t>
            </w:r>
          </w:p>
        </w:tc>
        <w:tc>
          <w:tcPr>
            <w:tcW w:w="993"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c>
          <w:tcPr>
            <w:tcW w:w="1275"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c>
          <w:tcPr>
            <w:tcW w:w="1276"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c>
          <w:tcPr>
            <w:tcW w:w="907"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077" w:type="dxa"/>
            <w:shd w:val="clear" w:color="FFFFFF" w:fill="FFFFFF"/>
          </w:tcPr>
          <w:p>
            <w:pPr>
              <w:pageBreakBefore w:val="0"/>
              <w:widowControl w:val="0"/>
              <w:jc w:val="left"/>
              <w:textAlignment w:val="auto"/>
            </w:pPr>
            <w:r>
              <w:rPr>
                <w:rFonts w:ascii="Times New Roman" w:hAnsi="Times New Roman" w:eastAsia="Times New Roman" w:cs="Times New Roman"/>
                <w:b/>
                <w:i w:val="0"/>
                <w:color w:val="auto"/>
                <w:position w:val="-1"/>
                <w:sz w:val="20"/>
                <w:u w:val="none"/>
              </w:rPr>
              <w:t>支付给本部门以外的同级政府单位</w:t>
            </w:r>
          </w:p>
        </w:tc>
        <w:tc>
          <w:tcPr>
            <w:tcW w:w="993"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c>
          <w:tcPr>
            <w:tcW w:w="1275"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c>
          <w:tcPr>
            <w:tcW w:w="1276"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c>
          <w:tcPr>
            <w:tcW w:w="907"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077" w:type="dxa"/>
            <w:shd w:val="clear" w:color="FFFFFF" w:fill="FFFFFF"/>
          </w:tcPr>
          <w:p>
            <w:pPr>
              <w:pageBreakBefore w:val="0"/>
              <w:widowControl w:val="0"/>
              <w:jc w:val="left"/>
              <w:textAlignment w:val="auto"/>
            </w:pPr>
            <w:r>
              <w:rPr>
                <w:rFonts w:ascii="Times New Roman" w:hAnsi="Times New Roman" w:eastAsia="Times New Roman" w:cs="Times New Roman"/>
                <w:b w:val="0"/>
                <w:i w:val="0"/>
                <w:color w:val="auto"/>
                <w:position w:val="-1"/>
                <w:sz w:val="20"/>
                <w:u w:val="none"/>
              </w:rPr>
              <w:t>支付给本部门以外的非同级政府单位</w:t>
            </w:r>
          </w:p>
        </w:tc>
        <w:tc>
          <w:tcPr>
            <w:tcW w:w="993"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c>
          <w:tcPr>
            <w:tcW w:w="1275"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c>
          <w:tcPr>
            <w:tcW w:w="1276"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c>
          <w:tcPr>
            <w:tcW w:w="907"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077" w:type="dxa"/>
            <w:shd w:val="clear" w:color="FFFFFF" w:fill="FFFFFF"/>
          </w:tcPr>
          <w:p>
            <w:pPr>
              <w:pageBreakBefore w:val="0"/>
              <w:widowControl w:val="0"/>
              <w:jc w:val="left"/>
              <w:textAlignment w:val="auto"/>
            </w:pPr>
            <w:r>
              <w:rPr>
                <w:rFonts w:ascii="Times New Roman" w:hAnsi="Times New Roman" w:eastAsia="Times New Roman" w:cs="Times New Roman"/>
                <w:b/>
                <w:i w:val="0"/>
                <w:color w:val="auto"/>
                <w:position w:val="-1"/>
                <w:sz w:val="20"/>
                <w:u w:val="none"/>
              </w:rPr>
              <w:t>支付给其他单位</w:t>
            </w:r>
          </w:p>
        </w:tc>
        <w:tc>
          <w:tcPr>
            <w:tcW w:w="993"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307.55</w:t>
            </w:r>
          </w:p>
        </w:tc>
        <w:tc>
          <w:tcPr>
            <w:tcW w:w="1275"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307.55</w:t>
            </w:r>
          </w:p>
        </w:tc>
        <w:tc>
          <w:tcPr>
            <w:tcW w:w="1276"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c>
          <w:tcPr>
            <w:tcW w:w="907" w:type="dxa"/>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4077" w:type="dxa"/>
            <w:tcBorders>
              <w:top w:val="single" w:color="auto" w:sz="4" w:space="0"/>
              <w:bottom w:val="single" w:color="auto" w:sz="4" w:space="0"/>
            </w:tcBorders>
            <w:shd w:val="clear" w:color="FFFFFF" w:fill="FFFFFF"/>
          </w:tcPr>
          <w:p>
            <w:pPr>
              <w:pageBreakBefore w:val="0"/>
              <w:widowControl w:val="0"/>
              <w:jc w:val="center"/>
              <w:textAlignment w:val="auto"/>
            </w:pPr>
            <w:r>
              <w:rPr>
                <w:rFonts w:ascii="Times New Roman" w:hAnsi="Times New Roman" w:eastAsia="Times New Roman" w:cs="Times New Roman"/>
                <w:b/>
                <w:i w:val="0"/>
                <w:color w:val="auto"/>
                <w:position w:val="-1"/>
                <w:sz w:val="20"/>
                <w:u w:val="none"/>
              </w:rPr>
              <w:t>合计</w:t>
            </w:r>
          </w:p>
        </w:tc>
        <w:tc>
          <w:tcPr>
            <w:tcW w:w="993" w:type="dxa"/>
            <w:tcBorders>
              <w:top w:val="single" w:color="auto" w:sz="4" w:space="0"/>
              <w:bottom w:val="single" w:color="auto" w:sz="4" w:space="0"/>
            </w:tcBorders>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307.55</w:t>
            </w:r>
          </w:p>
        </w:tc>
        <w:tc>
          <w:tcPr>
            <w:tcW w:w="1275" w:type="dxa"/>
            <w:tcBorders>
              <w:top w:val="single" w:color="auto" w:sz="4" w:space="0"/>
              <w:bottom w:val="single" w:color="auto" w:sz="4" w:space="0"/>
            </w:tcBorders>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307.55</w:t>
            </w:r>
          </w:p>
        </w:tc>
        <w:tc>
          <w:tcPr>
            <w:tcW w:w="1276" w:type="dxa"/>
            <w:tcBorders>
              <w:top w:val="single" w:color="auto" w:sz="4" w:space="0"/>
              <w:bottom w:val="single" w:color="auto" w:sz="4" w:space="0"/>
            </w:tcBorders>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c>
          <w:tcPr>
            <w:tcW w:w="907" w:type="dxa"/>
            <w:tcBorders>
              <w:top w:val="single" w:color="auto" w:sz="4" w:space="0"/>
              <w:bottom w:val="single" w:color="auto" w:sz="4" w:space="0"/>
            </w:tcBorders>
            <w:shd w:val="clear" w:color="FFFFFF" w:fill="FFFFFF"/>
          </w:tcPr>
          <w:p>
            <w:pPr>
              <w:pageBreakBefore w:val="0"/>
              <w:widowControl w:val="0"/>
              <w:jc w:val="right"/>
              <w:textAlignment w:val="auto"/>
            </w:pPr>
            <w:r>
              <w:rPr>
                <w:rFonts w:ascii="Times New Roman" w:hAnsi="Times New Roman" w:eastAsia="Times New Roman" w:cs="Times New Roman"/>
                <w:b w:val="0"/>
                <w:i w:val="0"/>
                <w:color w:val="auto"/>
                <w:position w:val="-1"/>
                <w:sz w:val="20"/>
                <w:u w:val="none"/>
              </w:rPr>
              <w:t>0.00</w:t>
            </w:r>
          </w:p>
        </w:tc>
      </w:tr>
    </w:tbl>
    <w:p>
      <w:pPr>
        <w:rPr>
          <w:sz w:val="22"/>
          <w:szCs w:val="22"/>
        </w:rPr>
      </w:pPr>
    </w:p>
    <w:p>
      <w:pPr>
        <w:pStyle w:val="5"/>
        <w:numPr>
          <w:ilvl w:val="0"/>
          <w:numId w:val="2"/>
        </w:numPr>
        <w:spacing w:before="0" w:after="0" w:line="360" w:lineRule="auto"/>
        <w:ind w:firstLine="602"/>
        <w:jc w:val="left"/>
        <w:rPr>
          <w:rFonts w:hint="eastAsia" w:ascii="仿宋" w:hAnsi="仿宋" w:eastAsia="仿宋"/>
          <w:b/>
        </w:rPr>
      </w:pPr>
      <w:bookmarkStart w:id="68" w:name="_Toc35500812"/>
      <w:bookmarkStart w:id="69" w:name="_Toc35452586"/>
      <w:r>
        <w:rPr>
          <w:rFonts w:hint="eastAsia" w:ascii="仿宋" w:hAnsi="仿宋" w:eastAsia="仿宋"/>
          <w:b/>
        </w:rPr>
        <w:t>需要说明的其他事项。</w:t>
      </w:r>
      <w:bookmarkEnd w:id="68"/>
      <w:bookmarkEnd w:id="69"/>
    </w:p>
    <w:p>
      <w:pPr>
        <w:pStyle w:val="111"/>
        <w:spacing w:line="360" w:lineRule="auto"/>
        <w:ind w:firstLine="600"/>
        <w:jc w:val="both"/>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没有需在会计报表中列示的重大影响财务状况的情况</w:t>
      </w:r>
    </w:p>
    <w:p>
      <w:pPr>
        <w:pStyle w:val="3"/>
        <w:spacing w:before="0" w:after="0" w:line="360" w:lineRule="auto"/>
        <w:ind w:firstLine="602" w:firstLineChars="200"/>
        <w:rPr>
          <w:rFonts w:hint="eastAsia" w:ascii="仿宋" w:hAnsi="仿宋" w:eastAsia="仿宋" w:cs="Times New Roman"/>
          <w:b/>
          <w:bCs/>
          <w:kern w:val="2"/>
          <w:sz w:val="30"/>
          <w:szCs w:val="32"/>
          <w:lang w:val="en-US" w:eastAsia="zh-CN" w:bidi="ar-SA"/>
        </w:rPr>
      </w:pPr>
      <w:bookmarkStart w:id="70" w:name="_Toc35500813"/>
      <w:bookmarkStart w:id="71" w:name="_Toc35452587"/>
      <w:bookmarkStart w:id="72" w:name="_Toc436083530"/>
      <w:bookmarkStart w:id="73" w:name="_Toc503548887"/>
      <w:r>
        <w:rPr>
          <w:rFonts w:hint="eastAsia" w:ascii="仿宋" w:hAnsi="仿宋" w:eastAsia="仿宋" w:cs="Times New Roman"/>
          <w:b/>
          <w:bCs/>
          <w:kern w:val="2"/>
          <w:sz w:val="30"/>
          <w:szCs w:val="32"/>
          <w:lang w:val="en-US" w:eastAsia="zh-CN" w:bidi="ar-SA"/>
        </w:rPr>
        <w:t>二、政府部门财务分析</w:t>
      </w:r>
      <w:bookmarkEnd w:id="70"/>
      <w:bookmarkEnd w:id="71"/>
      <w:bookmarkEnd w:id="72"/>
      <w:bookmarkEnd w:id="73"/>
    </w:p>
    <w:p>
      <w:pPr>
        <w:pStyle w:val="5"/>
        <w:spacing w:before="0" w:after="0" w:line="360" w:lineRule="auto"/>
        <w:ind w:firstLine="602"/>
        <w:jc w:val="left"/>
        <w:rPr>
          <w:rFonts w:ascii="仿宋" w:hAnsi="仿宋" w:eastAsia="仿宋" w:cs="黑体"/>
          <w:b/>
          <w:spacing w:val="-8"/>
        </w:rPr>
      </w:pPr>
      <w:bookmarkStart w:id="74" w:name="_Toc436083531"/>
      <w:bookmarkStart w:id="75" w:name="_Toc503548888"/>
      <w:bookmarkStart w:id="76" w:name="_Toc35500814"/>
      <w:bookmarkStart w:id="77" w:name="_Toc35452588"/>
      <w:r>
        <w:rPr>
          <w:rFonts w:hint="eastAsia" w:ascii="仿宋" w:hAnsi="仿宋" w:eastAsia="仿宋"/>
          <w:b/>
        </w:rPr>
        <w:t>（一）</w:t>
      </w:r>
      <w:bookmarkEnd w:id="74"/>
      <w:bookmarkEnd w:id="75"/>
      <w:bookmarkStart w:id="78" w:name="_Toc436083532"/>
      <w:bookmarkStart w:id="79" w:name="_Toc503548889"/>
      <w:r>
        <w:rPr>
          <w:rFonts w:ascii="仿宋" w:hAnsi="仿宋" w:eastAsia="仿宋" w:cs="黑体"/>
          <w:b/>
          <w:spacing w:val="-8"/>
        </w:rPr>
        <w:t>政府部门工作目标完成情况。</w:t>
      </w:r>
      <w:bookmarkEnd w:id="76"/>
      <w:bookmarkEnd w:id="77"/>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rightChars="0" w:firstLine="602" w:firstLineChars="200"/>
        <w:jc w:val="both"/>
        <w:textAlignment w:val="auto"/>
        <w:outlineLvl w:val="9"/>
        <w:rPr>
          <w:rFonts w:hint="eastAsia" w:ascii="仿宋" w:hAnsi="仿宋" w:eastAsia="仿宋" w:cs="Times New Roman"/>
          <w:b/>
          <w:bCs/>
          <w:kern w:val="2"/>
          <w:sz w:val="30"/>
          <w:szCs w:val="32"/>
          <w:lang w:val="en-US" w:eastAsia="zh-CN" w:bidi="ar-SA"/>
        </w:rPr>
      </w:pPr>
      <w:bookmarkStart w:id="80" w:name="_Toc35500815"/>
      <w:r>
        <w:rPr>
          <w:rFonts w:hint="eastAsia" w:ascii="仿宋" w:hAnsi="仿宋" w:eastAsia="仿宋" w:cs="Times New Roman"/>
          <w:b/>
          <w:bCs/>
          <w:kern w:val="2"/>
          <w:sz w:val="30"/>
          <w:szCs w:val="32"/>
          <w:lang w:val="en-US" w:eastAsia="zh-CN" w:bidi="ar-SA"/>
        </w:rPr>
        <w:t>临河区司法局以习近平新时代中国特色社会主义思想为指导，认真贯彻党的十九届四中全会精神，全面落实中央、自治区党委、市委政法工作会议精神和全区、全市司法行政工作会议精神，一手抓疫情防控，一手抓司法行政各项工作，两不误，两促进，取得了突出的成绩，疫情防控工作被评为“全市司法行政系统先进集体”，业务工作荣立“集体三等功”。</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rightChars="0" w:firstLine="602" w:firstLineChars="200"/>
        <w:jc w:val="both"/>
        <w:textAlignment w:val="auto"/>
        <w:outlineLvl w:val="9"/>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1.党组动员部署，全员参与战斗。新冠肺炎疫情发生后，局党组迅速行动，全力以赴投入疫情防控工作。局党组成员在做好本单位防控工作的同时，按照区委政府要求，参加了全区总体抗击疫情工作，带领全局干部奔赴一线开展防控工作，配合汇丰、新华等办事处做好20个居民住宅区的值班值守工作。</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rightChars="0" w:firstLine="602" w:firstLineChars="200"/>
        <w:jc w:val="both"/>
        <w:textAlignment w:val="auto"/>
        <w:outlineLvl w:val="9"/>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2、全面推进依法治区，促进依法行政，切实加强法治政府建设。</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rightChars="0" w:firstLine="602" w:firstLineChars="200"/>
        <w:jc w:val="both"/>
        <w:textAlignment w:val="auto"/>
        <w:outlineLvl w:val="9"/>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截止目前，法治政府建设考核平台成绩全市排名第一。积极开展法治政府自查自检工作，紧紧围绕《&lt;法治政府建设实施纲要（2015-2020年）&gt;完成情况对照表》，分解任务，整档立卡（涉及全区85个单位，共整理档案23盒），顺利通过全市法治政府建设考核验收。截至目前，依法治区办迎接自治区党委依法治区办法治政府建设督查1次，市委依法治区委员会“七五”普法验收1次，市委全面依法治区办法治政府建设督查2次，受到一致好评。</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rightChars="0" w:firstLine="602" w:firstLineChars="200"/>
        <w:jc w:val="both"/>
        <w:textAlignment w:val="auto"/>
        <w:outlineLvl w:val="9"/>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3.统筹规划，提升普法宣传工作成效。</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rightChars="0" w:firstLine="602" w:firstLineChars="200"/>
        <w:jc w:val="both"/>
        <w:textAlignment w:val="auto"/>
        <w:outlineLvl w:val="9"/>
        <w:rPr>
          <w:rFonts w:hint="eastAsia" w:ascii="仿宋" w:hAnsi="仿宋" w:eastAsia="仿宋" w:cs="Times New Roman"/>
          <w:b/>
          <w:bCs/>
          <w:kern w:val="2"/>
          <w:sz w:val="30"/>
          <w:szCs w:val="32"/>
          <w:lang w:val="en-US" w:eastAsia="zh-CN" w:bidi="ar-SA"/>
        </w:rPr>
      </w:pPr>
      <w:r>
        <w:rPr>
          <w:rFonts w:hint="default" w:ascii="仿宋" w:hAnsi="仿宋" w:eastAsia="仿宋" w:cs="Times New Roman"/>
          <w:b/>
          <w:bCs/>
          <w:kern w:val="2"/>
          <w:sz w:val="30"/>
          <w:szCs w:val="32"/>
          <w:lang w:val="en-US" w:eastAsia="zh-CN" w:bidi="ar-SA"/>
        </w:rPr>
        <w:t>利用“法治临河”开展普法宣传，</w:t>
      </w:r>
      <w:r>
        <w:rPr>
          <w:rFonts w:hint="eastAsia" w:ascii="仿宋" w:hAnsi="仿宋" w:eastAsia="仿宋" w:cs="Times New Roman"/>
          <w:b/>
          <w:bCs/>
          <w:kern w:val="2"/>
          <w:sz w:val="30"/>
          <w:szCs w:val="32"/>
          <w:lang w:val="en-US" w:eastAsia="zh-CN" w:bidi="ar-SA"/>
        </w:rPr>
        <w:t>今年共编写</w:t>
      </w:r>
      <w:r>
        <w:rPr>
          <w:rFonts w:hint="default" w:ascii="仿宋" w:hAnsi="仿宋" w:eastAsia="仿宋" w:cs="Times New Roman"/>
          <w:b/>
          <w:bCs/>
          <w:kern w:val="2"/>
          <w:sz w:val="30"/>
          <w:szCs w:val="32"/>
          <w:lang w:val="en-US" w:eastAsia="zh-CN" w:bidi="ar-SA"/>
        </w:rPr>
        <w:t>原创</w:t>
      </w:r>
      <w:r>
        <w:rPr>
          <w:rFonts w:hint="eastAsia" w:ascii="仿宋" w:hAnsi="仿宋" w:eastAsia="仿宋" w:cs="Times New Roman"/>
          <w:b/>
          <w:bCs/>
          <w:kern w:val="2"/>
          <w:sz w:val="30"/>
          <w:szCs w:val="32"/>
          <w:lang w:val="en-US" w:eastAsia="zh-CN" w:bidi="ar-SA"/>
        </w:rPr>
        <w:t>信息145篇上传平台；在其他</w:t>
      </w:r>
      <w:r>
        <w:rPr>
          <w:rFonts w:hint="default" w:ascii="仿宋" w:hAnsi="仿宋" w:eastAsia="仿宋" w:cs="Times New Roman"/>
          <w:b/>
          <w:bCs/>
          <w:kern w:val="2"/>
          <w:sz w:val="30"/>
          <w:szCs w:val="32"/>
          <w:lang w:val="en-US" w:eastAsia="zh-CN" w:bidi="ar-SA"/>
        </w:rPr>
        <w:t>媒体</w:t>
      </w:r>
      <w:r>
        <w:rPr>
          <w:rFonts w:hint="eastAsia" w:ascii="仿宋" w:hAnsi="仿宋" w:eastAsia="仿宋" w:cs="Times New Roman"/>
          <w:b/>
          <w:bCs/>
          <w:kern w:val="2"/>
          <w:sz w:val="30"/>
          <w:szCs w:val="32"/>
          <w:lang w:val="en-US" w:eastAsia="zh-CN" w:bidi="ar-SA"/>
        </w:rPr>
        <w:t>刊登信息稿件219篇。</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rightChars="0" w:firstLine="602" w:firstLineChars="200"/>
        <w:jc w:val="both"/>
        <w:textAlignment w:val="auto"/>
        <w:outlineLvl w:val="9"/>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2020年新受理以区政府和各部门为被申请人的行政复议案件15件，共办理新收及旧存结案共20件，其中维持1件,确认违法8件，撤销1件，驳回3件，当事人自行撤回2件，不予受理5件，纠错率100%，与去年同期相比，受理案件数量有所减少；上报市局行政复议答复意见24件。2020年承办因不服行政复议决定引起行政诉讼及以区政府作为被告的应诉案件共计82件，与去年同期相比，案件数增加近一倍之多,应诉案件数量急剧上升。代表临河区政府办理土地确权案件，2020年共审查土地确权案件3件，目前已经审结2件，均已经向当事人进行送达。</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rightChars="0" w:firstLine="602" w:firstLineChars="200"/>
        <w:jc w:val="both"/>
        <w:textAlignment w:val="auto"/>
        <w:outlineLvl w:val="9"/>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4.优化政府法律服务。</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rightChars="0" w:firstLine="602" w:firstLineChars="200"/>
        <w:jc w:val="both"/>
        <w:textAlignment w:val="auto"/>
        <w:outlineLvl w:val="9"/>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 xml:space="preserve">截止目前，本部门参加涉及法律事项的政府各类会议70余次；本部门及区政府法律顾问共出具法律意见、审查各类合同及土地批次合法性审查意见180余份；按领导批示审查政府常务会议纪要39份，区长办公会议纪要47分，并出具法律意见书。 </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rightChars="0" w:firstLine="602" w:firstLineChars="200"/>
        <w:jc w:val="both"/>
        <w:textAlignment w:val="auto"/>
        <w:outlineLvl w:val="9"/>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5.全面提升新时代公共法律服务的能力和水平，满足人民群众日益增长的法律服务需求。整合资源，建立健全公共法律服务体，扩大受援范围，提高法律援助案件质量，优化公共法律服务产品，提高公共法律服务水平，积极发挥职能优势，力推“最多跑一次”工作机制，深入推进法治文化阵地建设，进一步规范律师事务所、律师执业行为，加强律师管理工作。2020年，我区注册律师事务所共办理各类案件980件，其中办理民事案件649件，刑事案件107件，行政案件25件，法律援助案件181件，非诉讼法律事务18件；咨询和代书2021件，担任常年法律顾问41家，稳妥推进公证服务规范化水平。2020年，我区公证处共办理各类公证案件1146件，其中国内民事案件739件，国内经济案件105件，涉外民事案件295件，执行7件。</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rightChars="0" w:firstLine="602" w:firstLineChars="200"/>
        <w:jc w:val="both"/>
        <w:textAlignment w:val="auto"/>
        <w:outlineLvl w:val="9"/>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6.推进社会治理创新，扎实开展人民调解、社区矫正、安置帮教工作，为社会稳定、民生保障营造安定有序的社会环境。不断提升社会矛盾纠纷防范化解实效。2020年，全区人民调解组织共受理各类矛盾纠纷矛盾7364件，调处成功5229件，调解成功率71%；切实发挥了人民调解组织维护社会和谐稳定的“第一道防线”作用。积极推进矛盾纠纷多元化解决机制向乡镇、村组延伸。借鉴临河区矛盾纠纷多元化解指挥中心取得的成功经验与做法，结合乡镇工作实际，将矛盾纠纷多元化解机制作为“一统三治”基层治理模式的重要抓手，充分发挥乡镇（农场）基层司法所、法庭的作用，调动“法律顾问”、“法治副书记”、“五人小组”的积极性，在人民调解中发挥更大作用。探索实践，推进临河区人民调解中心（临河区矛盾纠纷多元化解指挥中心）提档升级。截至目前，临河区每年落实人民调解经费114余万元。压实工作责任，抓好社区矫正对象管控工作。2020年全区共接收社区矫正对象149人次、期满解除199人次、调查评估287人次、居住地变更11人次、警告4人次；目前在册208人（约占全市的三分之一），其中缓刑204人、暂予监外执行4人，无一例脱管、漏管。</w:t>
      </w:r>
    </w:p>
    <w:p>
      <w:pPr>
        <w:pStyle w:val="5"/>
        <w:spacing w:before="0" w:after="0" w:line="360" w:lineRule="auto"/>
        <w:ind w:firstLine="602"/>
        <w:jc w:val="left"/>
        <w:rPr>
          <w:rFonts w:ascii="仿宋" w:hAnsi="仿宋" w:eastAsia="仿宋"/>
          <w:b/>
        </w:rPr>
      </w:pPr>
      <w:r>
        <w:rPr>
          <w:rFonts w:hint="eastAsia" w:ascii="仿宋" w:hAnsi="仿宋" w:eastAsia="仿宋"/>
          <w:b/>
        </w:rPr>
        <w:t>（二）</w:t>
      </w:r>
      <w:bookmarkEnd w:id="78"/>
      <w:bookmarkEnd w:id="79"/>
      <w:r>
        <w:rPr>
          <w:rFonts w:ascii="仿宋" w:hAnsi="仿宋" w:eastAsia="仿宋"/>
          <w:b/>
        </w:rPr>
        <w:t>政府部门财务状况分析。</w:t>
      </w:r>
      <w:bookmarkEnd w:id="80"/>
    </w:p>
    <w:p>
      <w:pPr>
        <w:spacing w:line="360" w:lineRule="auto"/>
        <w:ind w:firstLine="301" w:firstLineChars="100"/>
      </w:pPr>
      <w:r>
        <w:rPr>
          <w:rFonts w:hint="eastAsia" w:ascii="仿宋" w:hAnsi="仿宋" w:eastAsia="仿宋" w:cs="Times New Roman"/>
          <w:b/>
          <w:bCs/>
          <w:kern w:val="2"/>
          <w:sz w:val="30"/>
          <w:szCs w:val="32"/>
          <w:lang w:val="en-US" w:eastAsia="zh-CN" w:bidi="ar-SA"/>
        </w:rPr>
        <w:t xml:space="preserve"> 1、资产构成情况为：固定资产净值26.81%、在建工程2.13%、无形资产0.52%、货币资金1.03%、财政应返还额度21.39%、其他应返还额度48.11%。</w:t>
      </w:r>
    </w:p>
    <w:p>
      <w:pPr>
        <w:spacing w:line="360" w:lineRule="auto"/>
        <w:jc w:val="center"/>
      </w:pPr>
      <w:r>
        <w:t>资产结构分析</w:t>
      </w:r>
      <w:r>
        <w:rPr>
          <w:rFonts w:hint="eastAsia"/>
        </w:rPr>
        <w:t>图：</w:t>
      </w:r>
    </w:p>
    <w:p>
      <w:pPr>
        <w:keepNext w:val="0"/>
        <w:keepLines w:val="0"/>
        <w:pageBreakBefore w:val="0"/>
        <w:widowControl/>
        <w:kinsoku/>
        <w:wordWrap/>
        <w:overflowPunct/>
        <w:topLinePunct w:val="0"/>
        <w:autoSpaceDE/>
        <w:autoSpaceDN/>
        <w:bidi w:val="0"/>
        <w:adjustRightInd/>
        <w:snapToGrid/>
        <w:spacing w:line="360" w:lineRule="auto"/>
        <w:ind w:left="-720" w:leftChars="-300"/>
        <w:jc w:val="center"/>
        <w:textAlignment w:val="auto"/>
      </w:pPr>
      <w:r>
        <w:drawing>
          <wp:inline distT="0" distB="0" distL="0" distR="0">
            <wp:extent cx="6350000" cy="3035300"/>
            <wp:effectExtent l="0" t="0" r="12700" b="12700"/>
            <wp:docPr id="1" name="Drawing 0" descr="资产结构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0" descr="资产结构分析"/>
                    <pic:cNvPicPr>
                      <a:picLocks noChangeAspect="1"/>
                    </pic:cNvPicPr>
                  </pic:nvPicPr>
                  <pic:blipFill>
                    <a:blip r:embed="rId14"/>
                    <a:stretch>
                      <a:fillRect/>
                    </a:stretch>
                  </pic:blipFill>
                  <pic:spPr>
                    <a:xfrm>
                      <a:off x="0" y="0"/>
                      <a:ext cx="6350000" cy="3035300"/>
                    </a:xfrm>
                    <a:prstGeom prst="rect">
                      <a:avLst/>
                    </a:prstGeom>
                  </pic:spPr>
                </pic:pic>
              </a:graphicData>
            </a:graphic>
          </wp:inline>
        </w:drawing>
      </w:r>
    </w:p>
    <w:p>
      <w:pPr>
        <w:pStyle w:val="111"/>
        <w:spacing w:line="360" w:lineRule="auto"/>
        <w:ind w:firstLine="480"/>
        <w:jc w:val="center"/>
        <w:rPr>
          <w:rFonts w:asciiTheme="minorEastAsia" w:hAnsiTheme="minorEastAsia" w:eastAsiaTheme="minorEastAsia"/>
          <w:color w:val="0070C0"/>
          <w:sz w:val="24"/>
          <w:szCs w:val="24"/>
        </w:rPr>
      </w:pPr>
    </w:p>
    <w:p>
      <w:pPr>
        <w:spacing w:line="360" w:lineRule="auto"/>
        <w:jc w:val="center"/>
      </w:pPr>
      <w:r>
        <w:t>重要资产项目年度情况分析</w:t>
      </w:r>
      <w:r>
        <w:rPr>
          <w:rFonts w:hint="eastAsia"/>
        </w:rPr>
        <w:t>图:</w:t>
      </w:r>
    </w:p>
    <w:p>
      <w:pPr>
        <w:keepNext w:val="0"/>
        <w:keepLines w:val="0"/>
        <w:pageBreakBefore w:val="0"/>
        <w:widowControl/>
        <w:kinsoku/>
        <w:wordWrap/>
        <w:overflowPunct/>
        <w:topLinePunct w:val="0"/>
        <w:autoSpaceDE/>
        <w:autoSpaceDN/>
        <w:bidi w:val="0"/>
        <w:adjustRightInd/>
        <w:snapToGrid/>
        <w:spacing w:line="360" w:lineRule="auto"/>
        <w:ind w:left="-720" w:leftChars="-300"/>
        <w:jc w:val="center"/>
        <w:textAlignment w:val="auto"/>
      </w:pPr>
      <w:r>
        <w:drawing>
          <wp:inline distT="0" distB="0" distL="0" distR="0">
            <wp:extent cx="6350000" cy="3035300"/>
            <wp:effectExtent l="0" t="0" r="12700" b="12700"/>
            <wp:docPr id="2" name="Drawing 1" descr="重要资产项目年度情况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1" descr="重要资产项目年度情况分析"/>
                    <pic:cNvPicPr>
                      <a:picLocks noChangeAspect="1"/>
                    </pic:cNvPicPr>
                  </pic:nvPicPr>
                  <pic:blipFill>
                    <a:blip r:embed="rId15"/>
                    <a:stretch>
                      <a:fillRect/>
                    </a:stretch>
                  </pic:blipFill>
                  <pic:spPr>
                    <a:xfrm>
                      <a:off x="0" y="0"/>
                      <a:ext cx="6350000" cy="3035300"/>
                    </a:xfrm>
                    <a:prstGeom prst="rect">
                      <a:avLst/>
                    </a:prstGeom>
                  </pic:spPr>
                </pic:pic>
              </a:graphicData>
            </a:graphic>
          </wp:inline>
        </w:drawing>
      </w:r>
    </w:p>
    <w:p>
      <w:pPr>
        <w:spacing w:line="360" w:lineRule="auto"/>
        <w:ind w:firstLine="480" w:firstLineChars="200"/>
        <w:rPr>
          <w:color w:val="0070C0"/>
        </w:rPr>
      </w:pPr>
    </w:p>
    <w:p>
      <w:pPr>
        <w:spacing w:line="360" w:lineRule="auto"/>
        <w:ind w:firstLine="301" w:firstLineChars="100"/>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2.我局债务构成情况主要为其他应收款占98.82%，主要是西迁办公楼工程由建设局承建，未完工；司法所建设未完工；应付职工薪酬0.55%，其他应缴税费0.63%。</w:t>
      </w:r>
    </w:p>
    <w:p>
      <w:pPr>
        <w:spacing w:line="360" w:lineRule="auto"/>
        <w:ind w:firstLine="600" w:firstLineChars="200"/>
        <w:rPr>
          <w:rFonts w:ascii="仿宋" w:hAnsi="仿宋" w:eastAsia="仿宋"/>
          <w:color w:val="0070C0"/>
          <w:sz w:val="30"/>
          <w:szCs w:val="30"/>
        </w:rPr>
      </w:pPr>
    </w:p>
    <w:p>
      <w:pPr>
        <w:spacing w:line="360" w:lineRule="auto"/>
        <w:jc w:val="center"/>
      </w:pPr>
      <w:r>
        <w:rPr>
          <w:rFonts w:hint="eastAsia"/>
        </w:rPr>
        <w:t>部门债务分析图：</w:t>
      </w:r>
    </w:p>
    <w:p>
      <w:pPr>
        <w:pStyle w:val="111"/>
        <w:keepNext w:val="0"/>
        <w:keepLines w:val="0"/>
        <w:pageBreakBefore w:val="0"/>
        <w:widowControl/>
        <w:kinsoku/>
        <w:wordWrap/>
        <w:overflowPunct/>
        <w:topLinePunct w:val="0"/>
        <w:autoSpaceDE/>
        <w:autoSpaceDN/>
        <w:bidi w:val="0"/>
        <w:adjustRightInd/>
        <w:snapToGrid/>
        <w:spacing w:line="360" w:lineRule="auto"/>
        <w:ind w:left="-720" w:leftChars="-300" w:firstLine="0" w:firstLineChars="0"/>
        <w:jc w:val="center"/>
        <w:textAlignment w:val="auto"/>
        <w:rPr>
          <w:rFonts w:ascii="新宋体" w:hAnsi="新宋体" w:eastAsia="新宋体"/>
          <w:sz w:val="24"/>
          <w:szCs w:val="24"/>
        </w:rPr>
      </w:pPr>
      <w:r>
        <w:rPr>
          <w:rFonts w:ascii="新宋体" w:hAnsi="新宋体" w:eastAsia="新宋体"/>
          <w:sz w:val="24"/>
          <w:szCs w:val="24"/>
        </w:rPr>
        <w:drawing>
          <wp:inline distT="0" distB="0" distL="0" distR="0">
            <wp:extent cx="6350000" cy="3035300"/>
            <wp:effectExtent l="0" t="0" r="12700" b="12700"/>
            <wp:docPr id="3" name="Drawing 2" descr="部门债务结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2" descr="部门债务结构"/>
                    <pic:cNvPicPr>
                      <a:picLocks noChangeAspect="1"/>
                    </pic:cNvPicPr>
                  </pic:nvPicPr>
                  <pic:blipFill>
                    <a:blip r:embed="rId16"/>
                    <a:stretch>
                      <a:fillRect/>
                    </a:stretch>
                  </pic:blipFill>
                  <pic:spPr>
                    <a:xfrm>
                      <a:off x="0" y="0"/>
                      <a:ext cx="6350000" cy="3035300"/>
                    </a:xfrm>
                    <a:prstGeom prst="rect">
                      <a:avLst/>
                    </a:prstGeom>
                  </pic:spPr>
                </pic:pic>
              </a:graphicData>
            </a:graphic>
          </wp:inline>
        </w:drawing>
      </w:r>
    </w:p>
    <w:p>
      <w:pPr>
        <w:spacing w:line="360" w:lineRule="auto"/>
        <w:jc w:val="center"/>
      </w:pPr>
    </w:p>
    <w:p>
      <w:pPr>
        <w:spacing w:line="360" w:lineRule="auto"/>
        <w:jc w:val="center"/>
        <w:rPr>
          <w:rFonts w:hint="eastAsia"/>
        </w:rPr>
      </w:pPr>
      <w:r>
        <w:t>重要</w:t>
      </w:r>
      <w:r>
        <w:rPr>
          <w:rFonts w:hint="eastAsia"/>
        </w:rPr>
        <w:t>负债变化</w:t>
      </w:r>
      <w:r>
        <w:t>分析</w:t>
      </w:r>
      <w:r>
        <w:rPr>
          <w:rFonts w:hint="eastAsia"/>
        </w:rPr>
        <w:t>图:</w:t>
      </w:r>
    </w:p>
    <w:p>
      <w:pPr>
        <w:keepNext w:val="0"/>
        <w:keepLines w:val="0"/>
        <w:pageBreakBefore w:val="0"/>
        <w:widowControl/>
        <w:kinsoku/>
        <w:wordWrap/>
        <w:overflowPunct/>
        <w:topLinePunct w:val="0"/>
        <w:autoSpaceDE/>
        <w:autoSpaceDN/>
        <w:bidi w:val="0"/>
        <w:adjustRightInd/>
        <w:snapToGrid/>
        <w:spacing w:line="360" w:lineRule="auto"/>
        <w:ind w:left="-720" w:leftChars="-300"/>
        <w:jc w:val="center"/>
        <w:textAlignment w:val="auto"/>
        <w:rPr>
          <w:rFonts w:hint="eastAsia"/>
        </w:rPr>
      </w:pPr>
      <w:r>
        <w:rPr>
          <w:rFonts w:hint="eastAsia"/>
        </w:rPr>
        <w:drawing>
          <wp:inline distT="0" distB="0" distL="0" distR="0">
            <wp:extent cx="6350000" cy="3035300"/>
            <wp:effectExtent l="0" t="0" r="12700" b="12700"/>
            <wp:docPr id="4" name="Drawing 3" descr="重要负债变化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3" descr="重要负债变化分析"/>
                    <pic:cNvPicPr>
                      <a:picLocks noChangeAspect="1"/>
                    </pic:cNvPicPr>
                  </pic:nvPicPr>
                  <pic:blipFill>
                    <a:blip r:embed="rId17"/>
                    <a:stretch>
                      <a:fillRect/>
                    </a:stretch>
                  </pic:blipFill>
                  <pic:spPr>
                    <a:xfrm>
                      <a:off x="0" y="0"/>
                      <a:ext cx="6350000" cy="3035300"/>
                    </a:xfrm>
                    <a:prstGeom prst="rect">
                      <a:avLst/>
                    </a:prstGeom>
                  </pic:spPr>
                </pic:pic>
              </a:graphicData>
            </a:graphic>
          </wp:inline>
        </w:drawing>
      </w:r>
    </w:p>
    <w:p>
      <w:pPr>
        <w:spacing w:line="360" w:lineRule="auto"/>
        <w:ind w:firstLine="301" w:firstLineChars="100"/>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3、2020年度资产负债率2.51%流动比率；现金比率891.56%；流动比率2805.04%，有较强的流动性；固定资产成新率48.10%；收入费用率107.44%，政府费用支出比例控制较好；无公共基础设施成新率和保障性住房成新率。</w:t>
      </w:r>
    </w:p>
    <w:p>
      <w:pPr>
        <w:spacing w:line="360" w:lineRule="auto"/>
        <w:ind w:firstLine="600" w:firstLineChars="200"/>
        <w:rPr>
          <w:rFonts w:ascii="仿宋" w:hAnsi="仿宋" w:eastAsia="仿宋"/>
          <w:color w:val="0070C0"/>
          <w:sz w:val="30"/>
          <w:szCs w:val="30"/>
        </w:rPr>
      </w:pPr>
    </w:p>
    <w:p>
      <w:pPr>
        <w:spacing w:line="360" w:lineRule="auto"/>
        <w:jc w:val="center"/>
      </w:pPr>
      <w:r>
        <w:rPr>
          <w:rFonts w:hint="eastAsia"/>
        </w:rPr>
        <w:t>部门财务状况分析图:</w:t>
      </w:r>
    </w:p>
    <w:p>
      <w:pPr>
        <w:keepNext w:val="0"/>
        <w:keepLines w:val="0"/>
        <w:pageBreakBefore w:val="0"/>
        <w:widowControl/>
        <w:kinsoku/>
        <w:wordWrap/>
        <w:overflowPunct/>
        <w:topLinePunct w:val="0"/>
        <w:autoSpaceDE/>
        <w:autoSpaceDN/>
        <w:bidi w:val="0"/>
        <w:adjustRightInd/>
        <w:snapToGrid/>
        <w:spacing w:line="360" w:lineRule="auto"/>
        <w:ind w:left="-720" w:leftChars="-300"/>
        <w:jc w:val="center"/>
        <w:textAlignment w:val="auto"/>
      </w:pPr>
      <w:r>
        <w:drawing>
          <wp:inline distT="0" distB="0" distL="0" distR="0">
            <wp:extent cx="6350000" cy="3035300"/>
            <wp:effectExtent l="0" t="0" r="12700" b="12700"/>
            <wp:docPr id="5" name="Drawing 4" descr="部门财务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4" descr="部门财务分析"/>
                    <pic:cNvPicPr>
                      <a:picLocks noChangeAspect="1"/>
                    </pic:cNvPicPr>
                  </pic:nvPicPr>
                  <pic:blipFill>
                    <a:blip r:embed="rId18"/>
                    <a:stretch>
                      <a:fillRect/>
                    </a:stretch>
                  </pic:blipFill>
                  <pic:spPr>
                    <a:xfrm>
                      <a:off x="0" y="0"/>
                      <a:ext cx="6350000" cy="3035300"/>
                    </a:xfrm>
                    <a:prstGeom prst="rect">
                      <a:avLst/>
                    </a:prstGeom>
                  </pic:spPr>
                </pic:pic>
              </a:graphicData>
            </a:graphic>
          </wp:inline>
        </w:drawing>
      </w:r>
    </w:p>
    <w:p>
      <w:pPr>
        <w:spacing w:line="360" w:lineRule="auto"/>
        <w:jc w:val="center"/>
      </w:pPr>
    </w:p>
    <w:p>
      <w:pPr>
        <w:pStyle w:val="5"/>
        <w:spacing w:before="0" w:after="0" w:line="360" w:lineRule="auto"/>
        <w:ind w:firstLine="602"/>
        <w:jc w:val="left"/>
        <w:rPr>
          <w:rFonts w:ascii="仿宋" w:hAnsi="仿宋" w:eastAsia="仿宋"/>
          <w:b/>
        </w:rPr>
      </w:pPr>
      <w:bookmarkStart w:id="81" w:name="_Toc436083533"/>
      <w:bookmarkStart w:id="82" w:name="_Toc503548890"/>
      <w:bookmarkStart w:id="83" w:name="_Toc35500816"/>
      <w:r>
        <w:rPr>
          <w:rFonts w:hint="eastAsia" w:ascii="仿宋" w:hAnsi="仿宋" w:eastAsia="仿宋"/>
          <w:b/>
        </w:rPr>
        <w:t>（三）</w:t>
      </w:r>
      <w:bookmarkEnd w:id="81"/>
      <w:bookmarkEnd w:id="82"/>
      <w:r>
        <w:rPr>
          <w:rFonts w:ascii="仿宋" w:hAnsi="仿宋" w:eastAsia="仿宋"/>
          <w:b/>
        </w:rPr>
        <w:t>政府部门运行情况分析。</w:t>
      </w:r>
      <w:bookmarkEnd w:id="83"/>
    </w:p>
    <w:p>
      <w:pPr>
        <w:spacing w:line="360" w:lineRule="auto"/>
        <w:ind w:firstLine="602" w:firstLineChars="200"/>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1、我局为财政全额拨款单位，2020年收入财政拨款占99.78%，利息收入0.01%，捐赠收入0.21%。</w:t>
      </w:r>
    </w:p>
    <w:p>
      <w:pPr>
        <w:spacing w:line="360" w:lineRule="auto"/>
        <w:ind w:firstLine="240"/>
        <w:jc w:val="center"/>
      </w:pPr>
      <w:r>
        <w:rPr>
          <w:rFonts w:hint="eastAsia"/>
        </w:rPr>
        <w:t>收入类结构分析图:</w:t>
      </w:r>
    </w:p>
    <w:p>
      <w:pPr>
        <w:keepNext w:val="0"/>
        <w:keepLines w:val="0"/>
        <w:pageBreakBefore w:val="0"/>
        <w:widowControl/>
        <w:kinsoku/>
        <w:wordWrap/>
        <w:overflowPunct/>
        <w:topLinePunct w:val="0"/>
        <w:autoSpaceDE/>
        <w:autoSpaceDN/>
        <w:bidi w:val="0"/>
        <w:adjustRightInd/>
        <w:snapToGrid/>
        <w:spacing w:line="360" w:lineRule="auto"/>
        <w:ind w:left="-720" w:leftChars="-300"/>
        <w:jc w:val="center"/>
        <w:textAlignment w:val="auto"/>
      </w:pPr>
      <w:r>
        <w:drawing>
          <wp:inline distT="0" distB="0" distL="0" distR="0">
            <wp:extent cx="6350000" cy="3987800"/>
            <wp:effectExtent l="0" t="0" r="12700" b="12700"/>
            <wp:docPr id="6" name="Drawing 5" descr="收入结构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5" descr="收入结构分析"/>
                    <pic:cNvPicPr>
                      <a:picLocks noChangeAspect="1"/>
                    </pic:cNvPicPr>
                  </pic:nvPicPr>
                  <pic:blipFill>
                    <a:blip r:embed="rId19"/>
                    <a:stretch>
                      <a:fillRect/>
                    </a:stretch>
                  </pic:blipFill>
                  <pic:spPr>
                    <a:xfrm>
                      <a:off x="0" y="0"/>
                      <a:ext cx="6350000" cy="3987800"/>
                    </a:xfrm>
                    <a:prstGeom prst="rect">
                      <a:avLst/>
                    </a:prstGeom>
                  </pic:spPr>
                </pic:pic>
              </a:graphicData>
            </a:graphic>
          </wp:inline>
        </w:drawing>
      </w:r>
    </w:p>
    <w:p>
      <w:pPr>
        <w:pStyle w:val="111"/>
        <w:spacing w:line="360" w:lineRule="auto"/>
        <w:ind w:firstLine="600"/>
        <w:jc w:val="both"/>
      </w:pPr>
    </w:p>
    <w:p>
      <w:pPr>
        <w:spacing w:line="360" w:lineRule="auto"/>
        <w:ind w:firstLine="904" w:firstLineChars="300"/>
        <w:rPr>
          <w:rFonts w:hint="eastAsia" w:ascii="仿宋" w:hAnsi="仿宋" w:eastAsia="仿宋" w:cs="Times New Roman"/>
          <w:b/>
          <w:bCs/>
          <w:kern w:val="2"/>
          <w:sz w:val="30"/>
          <w:szCs w:val="32"/>
          <w:lang w:val="en-US" w:eastAsia="zh-CN" w:bidi="ar-SA"/>
        </w:rPr>
      </w:pPr>
      <w:bookmarkStart w:id="88" w:name="_GoBack"/>
      <w:bookmarkEnd w:id="88"/>
      <w:r>
        <w:rPr>
          <w:rFonts w:hint="eastAsia" w:ascii="仿宋" w:hAnsi="仿宋" w:eastAsia="仿宋" w:cs="Times New Roman"/>
          <w:b/>
          <w:bCs/>
          <w:kern w:val="2"/>
          <w:sz w:val="30"/>
          <w:szCs w:val="32"/>
          <w:lang w:val="en-US" w:eastAsia="zh-CN" w:bidi="ar-SA"/>
        </w:rPr>
        <w:t>2. 2020年度费用按照科目分析主要为业务活动费由支出100%；费由按照经济性质分析主要为工资福利费用71.52%，固定资产折旧费用5.44%，无形资产摊销费用0.23%，商品和服务费用22.47%，其他费由0.34%。我局属于财政拨款单位，大部分资金用于工资支出。</w:t>
      </w:r>
    </w:p>
    <w:p>
      <w:pPr>
        <w:spacing w:line="360" w:lineRule="auto"/>
        <w:ind w:firstLine="600" w:firstLineChars="200"/>
        <w:rPr>
          <w:rFonts w:ascii="仿宋" w:hAnsi="仿宋" w:eastAsia="仿宋"/>
          <w:color w:val="0070C0"/>
          <w:sz w:val="30"/>
          <w:szCs w:val="30"/>
        </w:rPr>
      </w:pPr>
    </w:p>
    <w:p>
      <w:pPr>
        <w:spacing w:line="360" w:lineRule="auto"/>
        <w:jc w:val="center"/>
      </w:pPr>
      <w:r>
        <w:rPr>
          <w:rFonts w:hint="eastAsia"/>
        </w:rPr>
        <w:t>费用(按科目)分析图：</w:t>
      </w:r>
    </w:p>
    <w:p>
      <w:pPr>
        <w:keepNext w:val="0"/>
        <w:keepLines w:val="0"/>
        <w:pageBreakBefore w:val="0"/>
        <w:widowControl/>
        <w:kinsoku/>
        <w:wordWrap/>
        <w:overflowPunct/>
        <w:topLinePunct w:val="0"/>
        <w:autoSpaceDE/>
        <w:autoSpaceDN/>
        <w:bidi w:val="0"/>
        <w:adjustRightInd/>
        <w:snapToGrid/>
        <w:spacing w:line="360" w:lineRule="auto"/>
        <w:ind w:left="-720" w:leftChars="-300"/>
        <w:jc w:val="center"/>
        <w:textAlignment w:val="auto"/>
      </w:pPr>
      <w:r>
        <w:rPr>
          <w:rFonts w:hint="eastAsia"/>
        </w:rPr>
        <w:drawing>
          <wp:inline distT="0" distB="0" distL="0" distR="0">
            <wp:extent cx="6350000" cy="3987800"/>
            <wp:effectExtent l="0" t="0" r="12700" b="12700"/>
            <wp:docPr id="7" name="Drawing 6" descr="费用按科目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6" descr="费用按科目分析"/>
                    <pic:cNvPicPr>
                      <a:picLocks noChangeAspect="1"/>
                    </pic:cNvPicPr>
                  </pic:nvPicPr>
                  <pic:blipFill>
                    <a:blip r:embed="rId20"/>
                    <a:stretch>
                      <a:fillRect/>
                    </a:stretch>
                  </pic:blipFill>
                  <pic:spPr>
                    <a:xfrm>
                      <a:off x="0" y="0"/>
                      <a:ext cx="6350000" cy="3987800"/>
                    </a:xfrm>
                    <a:prstGeom prst="rect">
                      <a:avLst/>
                    </a:prstGeom>
                  </pic:spPr>
                </pic:pic>
              </a:graphicData>
            </a:graphic>
          </wp:inline>
        </w:drawing>
      </w:r>
    </w:p>
    <w:p>
      <w:pPr>
        <w:spacing w:line="360" w:lineRule="auto"/>
        <w:jc w:val="center"/>
      </w:pPr>
      <w:r>
        <w:rPr>
          <w:rFonts w:hint="eastAsia"/>
        </w:rPr>
        <w:t>费用(按经济性质)分析图：</w:t>
      </w:r>
    </w:p>
    <w:p>
      <w:pPr>
        <w:keepNext w:val="0"/>
        <w:keepLines w:val="0"/>
        <w:pageBreakBefore w:val="0"/>
        <w:widowControl/>
        <w:kinsoku/>
        <w:wordWrap/>
        <w:overflowPunct/>
        <w:topLinePunct w:val="0"/>
        <w:autoSpaceDE/>
        <w:autoSpaceDN/>
        <w:bidi w:val="0"/>
        <w:adjustRightInd/>
        <w:snapToGrid/>
        <w:spacing w:line="360" w:lineRule="auto"/>
        <w:ind w:left="-720" w:leftChars="-300"/>
        <w:jc w:val="center"/>
        <w:textAlignment w:val="auto"/>
        <w:rPr>
          <w:rFonts w:hint="eastAsia"/>
        </w:rPr>
      </w:pPr>
      <w:r>
        <w:rPr>
          <w:rFonts w:hint="eastAsia"/>
        </w:rPr>
        <w:drawing>
          <wp:inline distT="0" distB="0" distL="0" distR="0">
            <wp:extent cx="6350000" cy="3987800"/>
            <wp:effectExtent l="0" t="0" r="12700" b="12700"/>
            <wp:docPr id="8" name="Drawing 7" descr="费用按经济性质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7" descr="费用按经济性质分析"/>
                    <pic:cNvPicPr>
                      <a:picLocks noChangeAspect="1"/>
                    </pic:cNvPicPr>
                  </pic:nvPicPr>
                  <pic:blipFill>
                    <a:blip r:embed="rId21"/>
                    <a:stretch>
                      <a:fillRect/>
                    </a:stretch>
                  </pic:blipFill>
                  <pic:spPr>
                    <a:xfrm>
                      <a:off x="0" y="0"/>
                      <a:ext cx="6350000" cy="3987800"/>
                    </a:xfrm>
                    <a:prstGeom prst="rect">
                      <a:avLst/>
                    </a:prstGeom>
                  </pic:spPr>
                </pic:pic>
              </a:graphicData>
            </a:graphic>
          </wp:inline>
        </w:drawing>
      </w:r>
    </w:p>
    <w:p>
      <w:pPr>
        <w:spacing w:line="360" w:lineRule="auto"/>
        <w:jc w:val="center"/>
      </w:pPr>
    </w:p>
    <w:p>
      <w:pPr>
        <w:spacing w:line="360" w:lineRule="auto"/>
        <w:ind w:firstLine="301" w:firstLineChars="100"/>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3.2020年度资产负债率2.51%流动比率；现金比率891.56%；流动比率2805.04%，有较强的流动性；固定资产成新率48.10%；收入费用率107.44%，政府费用支出比例控制较好；无公共基础设施成新率和保障性住房成新率。</w:t>
      </w:r>
    </w:p>
    <w:p>
      <w:pPr>
        <w:spacing w:line="360" w:lineRule="auto"/>
        <w:ind w:firstLine="600" w:firstLineChars="200"/>
        <w:rPr>
          <w:rFonts w:ascii="仿宋" w:hAnsi="仿宋" w:eastAsia="仿宋"/>
          <w:color w:val="0070C0"/>
          <w:sz w:val="30"/>
          <w:szCs w:val="30"/>
        </w:rPr>
      </w:pPr>
    </w:p>
    <w:p>
      <w:pPr>
        <w:spacing w:line="360" w:lineRule="auto"/>
        <w:jc w:val="center"/>
      </w:pPr>
      <w:r>
        <w:rPr>
          <w:rFonts w:hint="eastAsia"/>
        </w:rPr>
        <w:t>部门财务状况分析图:</w:t>
      </w:r>
    </w:p>
    <w:p>
      <w:pPr>
        <w:keepNext w:val="0"/>
        <w:keepLines w:val="0"/>
        <w:pageBreakBefore w:val="0"/>
        <w:widowControl/>
        <w:kinsoku/>
        <w:wordWrap/>
        <w:overflowPunct/>
        <w:topLinePunct w:val="0"/>
        <w:autoSpaceDE/>
        <w:autoSpaceDN/>
        <w:bidi w:val="0"/>
        <w:adjustRightInd/>
        <w:snapToGrid/>
        <w:spacing w:line="360" w:lineRule="auto"/>
        <w:ind w:left="-720" w:leftChars="-300"/>
        <w:jc w:val="center"/>
        <w:textAlignment w:val="auto"/>
      </w:pPr>
      <w:r>
        <w:drawing>
          <wp:inline distT="0" distB="0" distL="0" distR="0">
            <wp:extent cx="6350000" cy="3035300"/>
            <wp:effectExtent l="0" t="0" r="12700" b="12700"/>
            <wp:docPr id="9" name="Drawing 8" descr="部门财务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8" descr="部门财务分析"/>
                    <pic:cNvPicPr>
                      <a:picLocks noChangeAspect="1"/>
                    </pic:cNvPicPr>
                  </pic:nvPicPr>
                  <pic:blipFill>
                    <a:blip r:embed="rId18"/>
                    <a:stretch>
                      <a:fillRect/>
                    </a:stretch>
                  </pic:blipFill>
                  <pic:spPr>
                    <a:xfrm>
                      <a:off x="0" y="0"/>
                      <a:ext cx="6350000" cy="3035300"/>
                    </a:xfrm>
                    <a:prstGeom prst="rect">
                      <a:avLst/>
                    </a:prstGeom>
                  </pic:spPr>
                </pic:pic>
              </a:graphicData>
            </a:graphic>
          </wp:inline>
        </w:drawing>
      </w:r>
    </w:p>
    <w:p>
      <w:pPr>
        <w:spacing w:line="360" w:lineRule="auto"/>
        <w:jc w:val="center"/>
      </w:pPr>
    </w:p>
    <w:p>
      <w:pPr>
        <w:pStyle w:val="5"/>
        <w:spacing w:before="0" w:after="0" w:line="360" w:lineRule="auto"/>
        <w:ind w:firstLine="602"/>
        <w:jc w:val="left"/>
        <w:rPr>
          <w:rFonts w:ascii="仿宋" w:hAnsi="仿宋" w:eastAsia="仿宋"/>
          <w:b/>
        </w:rPr>
      </w:pPr>
      <w:bookmarkStart w:id="84" w:name="_Toc436083534"/>
      <w:bookmarkStart w:id="85" w:name="_Toc503548891"/>
      <w:bookmarkStart w:id="86" w:name="_Toc35452589"/>
      <w:bookmarkStart w:id="87" w:name="_Toc35500817"/>
      <w:r>
        <w:rPr>
          <w:rFonts w:hint="eastAsia" w:ascii="仿宋" w:hAnsi="仿宋" w:eastAsia="仿宋"/>
          <w:b/>
        </w:rPr>
        <w:t>（四）</w:t>
      </w:r>
      <w:bookmarkEnd w:id="84"/>
      <w:bookmarkEnd w:id="85"/>
      <w:r>
        <w:rPr>
          <w:rFonts w:ascii="仿宋" w:hAnsi="仿宋" w:eastAsia="仿宋"/>
          <w:b/>
        </w:rPr>
        <w:t>政府部门财务管理情况。</w:t>
      </w:r>
      <w:bookmarkEnd w:id="86"/>
      <w:bookmarkEnd w:id="87"/>
    </w:p>
    <w:p>
      <w:pPr>
        <w:spacing w:line="360" w:lineRule="auto"/>
        <w:ind w:firstLine="301" w:firstLineChars="100"/>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1.部门预算管理：</w:t>
      </w:r>
    </w:p>
    <w:p>
      <w:pPr>
        <w:spacing w:line="360" w:lineRule="auto"/>
        <w:ind w:firstLine="301" w:firstLineChars="100"/>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部门预算编制前，做好财产清查、支出情况、异常需求分析等工作，摸清“家底”为正式编制年度预算做好准备。编制下年度部门预算时，首先对本年度的部门预算结果采取绩效评价的方法进行总结分析，将其预算执行情况和下年度的经济发展规划结合起来，预测下年度的收支状况来完成。部门预算的编制，要全面体现该部门的年度收支状况。收入方面要按照收入类别逐项核定，具体到单位和项目; 支出方面要按照支出类别、支出项目的轻重缓急安排经费; 对专项经费的支出要建立专门的连续性的预算计划。</w:t>
      </w:r>
    </w:p>
    <w:p>
      <w:pPr>
        <w:spacing w:line="360" w:lineRule="auto"/>
        <w:ind w:firstLine="301" w:firstLineChars="100"/>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2. 内控管理：</w:t>
      </w:r>
    </w:p>
    <w:p>
      <w:pPr>
        <w:spacing w:line="360" w:lineRule="auto"/>
        <w:ind w:firstLine="301" w:firstLineChars="100"/>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按照《中共中央关于全面推进依法治国若干重大问题的决定》要求，对财政资金分配使用、国有资产监管、政府投资、政府采购、公共资源转让、公共工程建设等权力集中的部门和岗位实行分事行权、分岗设权、分级授权，定期轮岗，强化内部流程控制，防止权力滥用。成立内部控制领导小组，明确小组领导和成员构成，明确内部控制领导小组下设办公室，明确内控办成员单位的职责分工；建立分工明确、责任清晰、齐抓共管的内部控制组织管理架构，层层传导压力，层层抓好落实。</w:t>
      </w:r>
    </w:p>
    <w:p>
      <w:pPr>
        <w:spacing w:line="360" w:lineRule="auto"/>
        <w:ind w:firstLine="301" w:firstLineChars="100"/>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3. 资产管理：</w:t>
      </w:r>
    </w:p>
    <w:p>
      <w:pPr>
        <w:spacing w:line="360" w:lineRule="auto"/>
        <w:ind w:firstLine="301" w:firstLineChars="100"/>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印发《临河区司法局固定资产管理办法》并逐一登记入册。资产报表定期向财政部门进行统计报送。从制度到具体实施环节严格把控，防止国有资产流失，提高国有资产保值增值率。</w:t>
      </w:r>
    </w:p>
    <w:p>
      <w:pPr>
        <w:spacing w:line="360" w:lineRule="auto"/>
        <w:ind w:firstLine="301" w:firstLineChars="100"/>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4.绩效管理：</w:t>
      </w:r>
    </w:p>
    <w:p>
      <w:pPr>
        <w:spacing w:line="360" w:lineRule="auto"/>
        <w:ind w:firstLine="301" w:firstLineChars="100"/>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紧紧围绕年度目标任务，以提高部门执行力和行政效能为重点，采取内部考核、服务对象评议与专家评估相结合的考核方法，坚持客观公正、公开透明、注重实效、简便易行的原则，逐步实现绩效考核工作的科学化、规范化和法制化，充分发挥绩效考核的导向和激励约束作用，不断提高绩效管理水平。以预算绩效管理为切入点，将绩效管理、评价贯彻部门行政。并重点对中央财政资金对下转移支付及车购税重点项目进行专项绩效评价。</w:t>
      </w:r>
    </w:p>
    <w:p>
      <w:pPr>
        <w:spacing w:line="360" w:lineRule="auto"/>
        <w:ind w:firstLine="301" w:firstLineChars="100"/>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5. 人才队伍建设：</w:t>
      </w:r>
    </w:p>
    <w:p>
      <w:pPr>
        <w:spacing w:line="360" w:lineRule="auto"/>
        <w:ind w:firstLine="301" w:firstLineChars="100"/>
        <w:rPr>
          <w:rFonts w:hint="eastAsia" w:ascii="仿宋" w:hAnsi="仿宋" w:eastAsia="仿宋" w:cs="Times New Roman"/>
          <w:b/>
          <w:bCs/>
          <w:kern w:val="2"/>
          <w:sz w:val="30"/>
          <w:szCs w:val="32"/>
          <w:lang w:val="en-US" w:eastAsia="zh-CN" w:bidi="ar-SA"/>
        </w:rPr>
      </w:pPr>
      <w:r>
        <w:rPr>
          <w:rFonts w:hint="eastAsia" w:ascii="仿宋" w:hAnsi="仿宋" w:eastAsia="仿宋" w:cs="Times New Roman"/>
          <w:b/>
          <w:bCs/>
          <w:kern w:val="2"/>
          <w:sz w:val="30"/>
          <w:szCs w:val="32"/>
          <w:lang w:val="en-US" w:eastAsia="zh-CN" w:bidi="ar-SA"/>
        </w:rPr>
        <w:t>定期进行财务人员专业化培训，从政策法规、会计制度等方面进行专项培训，200年组织系统内财务人员进行业务培训，共计培训2人6次。</w:t>
      </w:r>
    </w:p>
    <w:p>
      <w:pPr>
        <w:spacing w:line="360" w:lineRule="auto"/>
        <w:ind w:firstLine="301" w:firstLineChars="100"/>
        <w:rPr>
          <w:rFonts w:hint="eastAsia" w:ascii="仿宋" w:hAnsi="仿宋" w:eastAsia="仿宋" w:cs="Times New Roman"/>
          <w:b/>
          <w:bCs/>
          <w:kern w:val="2"/>
          <w:sz w:val="30"/>
          <w:szCs w:val="32"/>
          <w:lang w:val="en-US" w:eastAsia="zh-CN" w:bidi="ar-SA"/>
        </w:rPr>
      </w:pPr>
    </w:p>
    <w:sectPr>
      <w:pgSz w:w="11906" w:h="16838"/>
      <w:pgMar w:top="1440" w:right="1797" w:bottom="1440" w:left="1797"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Microsoft JhengHei">
    <w:panose1 w:val="020B0604030504040204"/>
    <w:charset w:val="88"/>
    <w:family w:val="swiss"/>
    <w:pitch w:val="default"/>
    <w:sig w:usb0="00000087" w:usb1="28AF4000" w:usb2="00000016" w:usb3="00000000" w:csb0="00100009"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rPr>
        <w:rFonts w:ascii="仿宋" w:hAnsi="仿宋" w:eastAsia="仿宋"/>
      </w:rPr>
    </w:pPr>
    <w:sdt>
      <w:sdtPr>
        <w:rPr>
          <w:rFonts w:ascii="仿宋" w:hAnsi="仿宋" w:eastAsia="仿宋"/>
        </w:rPr>
        <w:id w:val="-1690983955"/>
      </w:sdtPr>
      <w:sdtEndPr>
        <w:rPr>
          <w:rFonts w:ascii="仿宋" w:hAnsi="仿宋" w:eastAsia="仿宋"/>
        </w:rPr>
      </w:sdtEndPr>
      <w:sdtContent>
        <w:r>
          <w:rPr>
            <w:rFonts w:ascii="仿宋" w:hAnsi="仿宋" w:eastAsia="仿宋"/>
            <w:lang w:val="zh-CN"/>
          </w:rPr>
          <w:t xml:space="preserve"> </w:t>
        </w:r>
        <w:r>
          <w:rPr>
            <w:rFonts w:ascii="仿宋" w:hAnsi="仿宋" w:eastAsia="仿宋"/>
            <w:b/>
            <w:bCs/>
          </w:rPr>
          <w:fldChar w:fldCharType="begin"/>
        </w:r>
        <w:r>
          <w:rPr>
            <w:rFonts w:ascii="仿宋" w:hAnsi="仿宋" w:eastAsia="仿宋"/>
            <w:b/>
            <w:bCs/>
          </w:rPr>
          <w:instrText xml:space="preserve">PAGE</w:instrText>
        </w:r>
        <w:r>
          <w:rPr>
            <w:rFonts w:ascii="仿宋" w:hAnsi="仿宋" w:eastAsia="仿宋"/>
            <w:b/>
            <w:bCs/>
          </w:rPr>
          <w:fldChar w:fldCharType="separate"/>
        </w:r>
        <w:r>
          <w:rPr>
            <w:rFonts w:ascii="仿宋" w:hAnsi="仿宋" w:eastAsia="仿宋"/>
            <w:b/>
            <w:bCs/>
          </w:rPr>
          <w:t>26</w:t>
        </w:r>
        <w:r>
          <w:rPr>
            <w:rFonts w:ascii="仿宋" w:hAnsi="仿宋" w:eastAsia="仿宋"/>
            <w:b/>
            <w:bCs/>
          </w:rPr>
          <w:fldChar w:fldCharType="end"/>
        </w:r>
        <w:r>
          <w:rPr>
            <w:rFonts w:ascii="仿宋" w:hAnsi="仿宋" w:eastAsia="仿宋"/>
            <w:lang w:val="zh-CN"/>
          </w:rPr>
          <w:t xml:space="preserve"> / </w:t>
        </w:r>
        <w:r>
          <w:rPr>
            <w:rFonts w:ascii="仿宋" w:hAnsi="仿宋" w:eastAsia="仿宋"/>
            <w:b/>
            <w:bCs/>
          </w:rPr>
          <w:fldChar w:fldCharType="begin"/>
        </w:r>
        <w:r>
          <w:rPr>
            <w:rFonts w:ascii="仿宋" w:hAnsi="仿宋" w:eastAsia="仿宋"/>
            <w:b/>
            <w:bCs/>
          </w:rPr>
          <w:instrText xml:space="preserve">NUMPAGES</w:instrText>
        </w:r>
        <w:r>
          <w:rPr>
            <w:rFonts w:ascii="仿宋" w:hAnsi="仿宋" w:eastAsia="仿宋"/>
            <w:b/>
            <w:bCs/>
          </w:rPr>
          <w:fldChar w:fldCharType="separate"/>
        </w:r>
        <w:r>
          <w:rPr>
            <w:rFonts w:ascii="仿宋" w:hAnsi="仿宋" w:eastAsia="仿宋"/>
            <w:b/>
            <w:bCs/>
          </w:rPr>
          <w:t>27</w:t>
        </w:r>
        <w:r>
          <w:rPr>
            <w:rFonts w:ascii="仿宋" w:hAnsi="仿宋" w:eastAsia="仿宋"/>
            <w:b/>
            <w:bCs/>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仿宋" w:hAnsi="仿宋" w:eastAsia="仿宋"/>
      </w:rPr>
      <w:id w:val="1038315459"/>
    </w:sdtPr>
    <w:sdtEndPr>
      <w:rPr>
        <w:rFonts w:ascii="仿宋" w:hAnsi="仿宋" w:eastAsia="仿宋"/>
      </w:rPr>
    </w:sdtEndPr>
    <w:sdtContent>
      <w:sdt>
        <w:sdtPr>
          <w:rPr>
            <w:rFonts w:ascii="仿宋" w:hAnsi="仿宋" w:eastAsia="仿宋"/>
          </w:rPr>
          <w:id w:val="-242650556"/>
        </w:sdtPr>
        <w:sdtEndPr>
          <w:rPr>
            <w:rFonts w:ascii="仿宋" w:hAnsi="仿宋" w:eastAsia="仿宋"/>
          </w:rPr>
        </w:sdtEndPr>
        <w:sdtContent>
          <w:p>
            <w:pPr>
              <w:pStyle w:val="22"/>
              <w:jc w:val="center"/>
              <w:rPr>
                <w:rFonts w:ascii="仿宋" w:hAnsi="仿宋" w:eastAsia="仿宋"/>
              </w:rPr>
            </w:pPr>
            <w:r>
              <w:rPr>
                <w:rFonts w:ascii="仿宋" w:hAnsi="仿宋" w:eastAsia="仿宋"/>
                <w:lang w:val="zh-CN"/>
              </w:rPr>
              <w:t xml:space="preserve"> </w:t>
            </w:r>
            <w:r>
              <w:rPr>
                <w:rFonts w:ascii="仿宋" w:hAnsi="仿宋" w:eastAsia="仿宋"/>
                <w:b/>
                <w:bCs/>
              </w:rPr>
              <w:fldChar w:fldCharType="begin"/>
            </w:r>
            <w:r>
              <w:rPr>
                <w:rFonts w:ascii="仿宋" w:hAnsi="仿宋" w:eastAsia="仿宋"/>
                <w:b/>
                <w:bCs/>
              </w:rPr>
              <w:instrText xml:space="preserve">PAGE</w:instrText>
            </w:r>
            <w:r>
              <w:rPr>
                <w:rFonts w:ascii="仿宋" w:hAnsi="仿宋" w:eastAsia="仿宋"/>
                <w:b/>
                <w:bCs/>
              </w:rPr>
              <w:fldChar w:fldCharType="separate"/>
            </w:r>
            <w:r>
              <w:rPr>
                <w:rFonts w:ascii="仿宋" w:hAnsi="仿宋" w:eastAsia="仿宋"/>
                <w:b/>
                <w:bCs/>
              </w:rPr>
              <w:t>1</w:t>
            </w:r>
            <w:r>
              <w:rPr>
                <w:rFonts w:ascii="仿宋" w:hAnsi="仿宋" w:eastAsia="仿宋"/>
                <w:b/>
                <w:bCs/>
              </w:rPr>
              <w:fldChar w:fldCharType="end"/>
            </w:r>
            <w:r>
              <w:rPr>
                <w:rFonts w:ascii="仿宋" w:hAnsi="仿宋" w:eastAsia="仿宋"/>
                <w:lang w:val="zh-CN"/>
              </w:rPr>
              <w:t xml:space="preserve"> / </w:t>
            </w:r>
            <w:r>
              <w:rPr>
                <w:rFonts w:ascii="仿宋" w:hAnsi="仿宋" w:eastAsia="仿宋"/>
                <w:b/>
                <w:bCs/>
              </w:rPr>
              <w:fldChar w:fldCharType="begin"/>
            </w:r>
            <w:r>
              <w:rPr>
                <w:rFonts w:ascii="仿宋" w:hAnsi="仿宋" w:eastAsia="仿宋"/>
                <w:b/>
                <w:bCs/>
              </w:rPr>
              <w:instrText xml:space="preserve">NUMPAGES</w:instrText>
            </w:r>
            <w:r>
              <w:rPr>
                <w:rFonts w:ascii="仿宋" w:hAnsi="仿宋" w:eastAsia="仿宋"/>
                <w:b/>
                <w:bCs/>
              </w:rPr>
              <w:fldChar w:fldCharType="separate"/>
            </w:r>
            <w:r>
              <w:rPr>
                <w:rFonts w:ascii="仿宋" w:hAnsi="仿宋" w:eastAsia="仿宋"/>
                <w:b/>
                <w:bCs/>
              </w:rPr>
              <w:t>26</w:t>
            </w:r>
            <w:r>
              <w:rPr>
                <w:rFonts w:ascii="仿宋" w:hAnsi="仿宋" w:eastAsia="仿宋"/>
                <w:b/>
                <w:bCs/>
              </w:rPr>
              <w:fldChar w:fldCharType="end"/>
            </w:r>
          </w:p>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rPr>
        <w:rFonts w:ascii="仿宋" w:hAnsi="仿宋" w:eastAsia="仿宋"/>
      </w:rPr>
    </w:pPr>
    <w:sdt>
      <w:sdtPr>
        <w:rPr>
          <w:rFonts w:ascii="仿宋" w:hAnsi="仿宋" w:eastAsia="仿宋"/>
        </w:rPr>
        <w:id w:val="-1690983955"/>
      </w:sdtPr>
      <w:sdtEndPr>
        <w:rPr>
          <w:rFonts w:ascii="仿宋" w:hAnsi="仿宋" w:eastAsia="仿宋"/>
        </w:rPr>
      </w:sdtEndPr>
      <w:sdtContent>
        <w:r>
          <w:rPr>
            <w:rFonts w:ascii="仿宋" w:hAnsi="仿宋" w:eastAsia="仿宋"/>
            <w:lang w:val="zh-CN"/>
          </w:rPr>
          <w:t xml:space="preserve"> </w:t>
        </w:r>
        <w:r>
          <w:rPr>
            <w:rFonts w:ascii="仿宋" w:hAnsi="仿宋" w:eastAsia="仿宋"/>
            <w:b/>
            <w:bCs/>
          </w:rPr>
          <w:fldChar w:fldCharType="begin"/>
        </w:r>
        <w:r>
          <w:rPr>
            <w:rFonts w:ascii="仿宋" w:hAnsi="仿宋" w:eastAsia="仿宋"/>
            <w:b/>
            <w:bCs/>
          </w:rPr>
          <w:instrText xml:space="preserve">PAGE</w:instrText>
        </w:r>
        <w:r>
          <w:rPr>
            <w:rFonts w:ascii="仿宋" w:hAnsi="仿宋" w:eastAsia="仿宋"/>
            <w:b/>
            <w:bCs/>
          </w:rPr>
          <w:fldChar w:fldCharType="separate"/>
        </w:r>
        <w:r>
          <w:rPr>
            <w:rFonts w:ascii="仿宋" w:hAnsi="仿宋" w:eastAsia="仿宋"/>
            <w:b/>
            <w:bCs/>
          </w:rPr>
          <w:t>15</w:t>
        </w:r>
        <w:r>
          <w:rPr>
            <w:rFonts w:ascii="仿宋" w:hAnsi="仿宋" w:eastAsia="仿宋"/>
            <w:b/>
            <w:bCs/>
          </w:rPr>
          <w:fldChar w:fldCharType="end"/>
        </w:r>
        <w:r>
          <w:rPr>
            <w:rFonts w:ascii="仿宋" w:hAnsi="仿宋" w:eastAsia="仿宋"/>
            <w:lang w:val="zh-CN"/>
          </w:rPr>
          <w:t xml:space="preserve"> / </w:t>
        </w:r>
        <w:r>
          <w:rPr>
            <w:rFonts w:ascii="仿宋" w:hAnsi="仿宋" w:eastAsia="仿宋"/>
            <w:b/>
            <w:bCs/>
          </w:rPr>
          <w:fldChar w:fldCharType="begin"/>
        </w:r>
        <w:r>
          <w:rPr>
            <w:rFonts w:ascii="仿宋" w:hAnsi="仿宋" w:eastAsia="仿宋"/>
            <w:b/>
            <w:bCs/>
          </w:rPr>
          <w:instrText xml:space="preserve">NUMPAGES</w:instrText>
        </w:r>
        <w:r>
          <w:rPr>
            <w:rFonts w:ascii="仿宋" w:hAnsi="仿宋" w:eastAsia="仿宋"/>
            <w:b/>
            <w:bCs/>
          </w:rPr>
          <w:fldChar w:fldCharType="separate"/>
        </w:r>
        <w:r>
          <w:rPr>
            <w:rFonts w:ascii="仿宋" w:hAnsi="仿宋" w:eastAsia="仿宋"/>
            <w:b/>
            <w:bCs/>
          </w:rPr>
          <w:t>15</w:t>
        </w:r>
        <w:r>
          <w:rPr>
            <w:rFonts w:ascii="仿宋" w:hAnsi="仿宋" w:eastAsia="仿宋"/>
            <w:b/>
            <w:bCs/>
          </w:rPr>
          <w:fldChar w:fldCharType="end"/>
        </w: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240024"/>
    </w:sdtPr>
    <w:sdtEndPr>
      <w:rPr>
        <w:rFonts w:ascii="Times New Roman" w:hAnsi="Times New Roman"/>
        <w:sz w:val="21"/>
        <w:szCs w:val="21"/>
      </w:rPr>
    </w:sdtEndPr>
    <w:sdtContent>
      <w:p>
        <w:pPr>
          <w:pStyle w:val="22"/>
          <w:jc w:val="center"/>
          <w:rPr>
            <w:rFonts w:ascii="Times New Roman" w:hAnsi="Times New Roman"/>
            <w:sz w:val="21"/>
            <w:szCs w:val="21"/>
          </w:rPr>
        </w:pPr>
        <w:r>
          <w:rPr>
            <w:rFonts w:ascii="Times New Roman" w:hAnsi="Times New Roman"/>
            <w:sz w:val="21"/>
            <w:szCs w:val="21"/>
          </w:rPr>
          <w:fldChar w:fldCharType="begin"/>
        </w:r>
        <w:r>
          <w:rPr>
            <w:rFonts w:ascii="Times New Roman" w:hAnsi="Times New Roman"/>
            <w:sz w:val="21"/>
            <w:szCs w:val="21"/>
          </w:rPr>
          <w:instrText xml:space="preserve">PAGE   \* MERGEFORMAT</w:instrText>
        </w:r>
        <w:r>
          <w:rPr>
            <w:rFonts w:ascii="Times New Roman" w:hAnsi="Times New Roman"/>
            <w:sz w:val="21"/>
            <w:szCs w:val="21"/>
          </w:rPr>
          <w:fldChar w:fldCharType="separate"/>
        </w:r>
        <w:r>
          <w:rPr>
            <w:rFonts w:ascii="Times New Roman" w:hAnsi="Times New Roman"/>
            <w:sz w:val="21"/>
            <w:szCs w:val="21"/>
            <w:lang w:val="zh-CN"/>
          </w:rPr>
          <w:t>1</w:t>
        </w:r>
        <w:r>
          <w:rPr>
            <w:rFonts w:ascii="Times New Roman" w:hAnsi="Times New Roman"/>
            <w:sz w:val="21"/>
            <w:szCs w:val="21"/>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27"/>
        <w:rPr>
          <w:rFonts w:asciiTheme="minorEastAsia" w:hAnsiTheme="minorEastAsia" w:eastAsiaTheme="minorEastAsia"/>
          <w:sz w:val="21"/>
          <w:szCs w:val="21"/>
        </w:rPr>
      </w:pPr>
      <w:r>
        <w:rPr>
          <w:rStyle w:val="43"/>
        </w:rPr>
        <w:footnoteRef/>
      </w:r>
      <w:r>
        <w:rPr>
          <w:rFonts w:asciiTheme="minorEastAsia" w:hAnsiTheme="minorEastAsia" w:eastAsiaTheme="minorEastAsia"/>
          <w:sz w:val="21"/>
          <w:szCs w:val="21"/>
        </w:rPr>
        <w:t xml:space="preserve"> </w:t>
      </w:r>
      <w:r>
        <w:rPr>
          <w:rFonts w:hint="eastAsia" w:asciiTheme="minorEastAsia" w:hAnsiTheme="minorEastAsia" w:eastAsiaTheme="minorEastAsia"/>
          <w:sz w:val="21"/>
          <w:szCs w:val="21"/>
        </w:rPr>
        <w:t>表</w:t>
      </w:r>
      <w:r>
        <w:rPr>
          <w:rFonts w:asciiTheme="minorEastAsia" w:hAnsiTheme="minorEastAsia" w:eastAsiaTheme="minorEastAsia"/>
          <w:sz w:val="21"/>
          <w:szCs w:val="21"/>
        </w:rPr>
        <w:t xml:space="preserve"> 2-2 的“其他费用”包括“业务活动费用”</w:t>
      </w:r>
      <w:r>
        <w:rPr>
          <w:rFonts w:hint="eastAsia" w:asciiTheme="minorEastAsia" w:hAnsiTheme="minorEastAsia" w:eastAsiaTheme="minorEastAsia"/>
          <w:sz w:val="21"/>
          <w:szCs w:val="21"/>
        </w:rPr>
        <w:t>、</w:t>
      </w:r>
      <w:r>
        <w:rPr>
          <w:rFonts w:asciiTheme="minorEastAsia" w:hAnsiTheme="minorEastAsia" w:eastAsiaTheme="minorEastAsia"/>
          <w:sz w:val="21"/>
          <w:szCs w:val="21"/>
        </w:rPr>
        <w:t>“单位管理费用”</w:t>
      </w:r>
      <w:r>
        <w:rPr>
          <w:rFonts w:hint="eastAsia" w:asciiTheme="minorEastAsia" w:hAnsiTheme="minorEastAsia" w:eastAsiaTheme="minorEastAsia"/>
          <w:sz w:val="21"/>
          <w:szCs w:val="21"/>
        </w:rPr>
        <w:t>、</w:t>
      </w:r>
      <w:r>
        <w:rPr>
          <w:rFonts w:asciiTheme="minorEastAsia" w:hAnsiTheme="minorEastAsia" w:eastAsiaTheme="minorEastAsia"/>
          <w:sz w:val="21"/>
          <w:szCs w:val="21"/>
        </w:rPr>
        <w:t>“经营费用”等会计科目中的其他部分。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1A62931"/>
    <w:multiLevelType w:val="singleLevel"/>
    <w:tmpl w:val="D1A62931"/>
    <w:lvl w:ilvl="0" w:tentative="0">
      <w:start w:val="3"/>
      <w:numFmt w:val="decimal"/>
      <w:lvlText w:val="%1."/>
      <w:lvlJc w:val="left"/>
      <w:pPr>
        <w:tabs>
          <w:tab w:val="left" w:pos="312"/>
        </w:tabs>
      </w:pPr>
    </w:lvl>
  </w:abstractNum>
  <w:abstractNum w:abstractNumId="1">
    <w:nsid w:val="1AC79617"/>
    <w:multiLevelType w:val="singleLevel"/>
    <w:tmpl w:val="1AC79617"/>
    <w:lvl w:ilvl="0" w:tentative="0">
      <w:start w:val="6"/>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documentProtection w:enforcement="0"/>
  <w:defaultTabStop w:val="420"/>
  <w:drawingGridHorizontalSpacing w:val="120"/>
  <w:drawingGridVerticalSpacing w:val="163"/>
  <w:noPunctuationKerning w:val="1"/>
  <w:characterSpacingControl w:val="doNotCompress"/>
  <w:noLineBreaksAfter w:lang="zh-CN" w:val="$([{£¥·‘“〈《「『【〔〖〝﹙﹛﹝＄（．［｛￡￥"/>
  <w:noLineBreaksBefore w:lang="zh-CN" w:val="!%),.:;&gt;?]}¢¨°·ˇˉ―‖’”…‰′″›℃∶、。〃〉》」』】〕〗〞︶︺︾﹀﹄﹚﹜﹞！＂％＇），．：；？］｀｜｝～￠"/>
  <w:footnotePr>
    <w:numFmt w:val="decimalEnclosedCircleChinese"/>
  </w:foot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00A"/>
    <w:rsid w:val="00000769"/>
    <w:rsid w:val="00001875"/>
    <w:rsid w:val="00001DA2"/>
    <w:rsid w:val="00003542"/>
    <w:rsid w:val="00003D4F"/>
    <w:rsid w:val="00005D80"/>
    <w:rsid w:val="00006043"/>
    <w:rsid w:val="000073F5"/>
    <w:rsid w:val="0001053B"/>
    <w:rsid w:val="000116C9"/>
    <w:rsid w:val="00012C4B"/>
    <w:rsid w:val="00012EB0"/>
    <w:rsid w:val="00013EC7"/>
    <w:rsid w:val="0001401B"/>
    <w:rsid w:val="00014AA7"/>
    <w:rsid w:val="00015324"/>
    <w:rsid w:val="00016B3D"/>
    <w:rsid w:val="00017068"/>
    <w:rsid w:val="00020A10"/>
    <w:rsid w:val="000220CF"/>
    <w:rsid w:val="00022E5B"/>
    <w:rsid w:val="00024E2E"/>
    <w:rsid w:val="00030B80"/>
    <w:rsid w:val="0003107E"/>
    <w:rsid w:val="0003429E"/>
    <w:rsid w:val="000355A9"/>
    <w:rsid w:val="00035C9B"/>
    <w:rsid w:val="000406AA"/>
    <w:rsid w:val="00042520"/>
    <w:rsid w:val="00043D78"/>
    <w:rsid w:val="00044F77"/>
    <w:rsid w:val="00045215"/>
    <w:rsid w:val="0004568F"/>
    <w:rsid w:val="00045AB1"/>
    <w:rsid w:val="00051605"/>
    <w:rsid w:val="000518FB"/>
    <w:rsid w:val="000550B8"/>
    <w:rsid w:val="00057002"/>
    <w:rsid w:val="00060A24"/>
    <w:rsid w:val="000648ED"/>
    <w:rsid w:val="000658F0"/>
    <w:rsid w:val="000671C8"/>
    <w:rsid w:val="00067E05"/>
    <w:rsid w:val="000705FA"/>
    <w:rsid w:val="00070862"/>
    <w:rsid w:val="00071A7A"/>
    <w:rsid w:val="00075C7E"/>
    <w:rsid w:val="00075F12"/>
    <w:rsid w:val="000774A6"/>
    <w:rsid w:val="000823CD"/>
    <w:rsid w:val="000838FB"/>
    <w:rsid w:val="00084BB6"/>
    <w:rsid w:val="000850F5"/>
    <w:rsid w:val="00086A07"/>
    <w:rsid w:val="000870A3"/>
    <w:rsid w:val="00090C8A"/>
    <w:rsid w:val="000922B9"/>
    <w:rsid w:val="000949F2"/>
    <w:rsid w:val="000958AE"/>
    <w:rsid w:val="00097B38"/>
    <w:rsid w:val="000A12FF"/>
    <w:rsid w:val="000A16A6"/>
    <w:rsid w:val="000A2130"/>
    <w:rsid w:val="000A22D9"/>
    <w:rsid w:val="000A44B0"/>
    <w:rsid w:val="000A4CD0"/>
    <w:rsid w:val="000A514F"/>
    <w:rsid w:val="000A60C9"/>
    <w:rsid w:val="000A7312"/>
    <w:rsid w:val="000A7E42"/>
    <w:rsid w:val="000B1C40"/>
    <w:rsid w:val="000B1C95"/>
    <w:rsid w:val="000B7274"/>
    <w:rsid w:val="000B7A45"/>
    <w:rsid w:val="000C0493"/>
    <w:rsid w:val="000C08B8"/>
    <w:rsid w:val="000C092E"/>
    <w:rsid w:val="000C0C01"/>
    <w:rsid w:val="000C0F1F"/>
    <w:rsid w:val="000C29C6"/>
    <w:rsid w:val="000C3DEA"/>
    <w:rsid w:val="000C48D6"/>
    <w:rsid w:val="000C490D"/>
    <w:rsid w:val="000C5B8A"/>
    <w:rsid w:val="000C6630"/>
    <w:rsid w:val="000D069C"/>
    <w:rsid w:val="000D2D84"/>
    <w:rsid w:val="000D575F"/>
    <w:rsid w:val="000D7026"/>
    <w:rsid w:val="000E296D"/>
    <w:rsid w:val="000E2AFB"/>
    <w:rsid w:val="000E552E"/>
    <w:rsid w:val="000E607C"/>
    <w:rsid w:val="000E7147"/>
    <w:rsid w:val="000F050D"/>
    <w:rsid w:val="000F0E6A"/>
    <w:rsid w:val="000F0E76"/>
    <w:rsid w:val="000F1A84"/>
    <w:rsid w:val="000F486C"/>
    <w:rsid w:val="00101331"/>
    <w:rsid w:val="00101871"/>
    <w:rsid w:val="00102186"/>
    <w:rsid w:val="00102256"/>
    <w:rsid w:val="00102702"/>
    <w:rsid w:val="0010314B"/>
    <w:rsid w:val="00103C6B"/>
    <w:rsid w:val="00104C9B"/>
    <w:rsid w:val="00105AEE"/>
    <w:rsid w:val="00107B24"/>
    <w:rsid w:val="001107A6"/>
    <w:rsid w:val="001118AF"/>
    <w:rsid w:val="00111CD8"/>
    <w:rsid w:val="00112D8E"/>
    <w:rsid w:val="001142C8"/>
    <w:rsid w:val="001147E2"/>
    <w:rsid w:val="00115725"/>
    <w:rsid w:val="00115E97"/>
    <w:rsid w:val="0012075A"/>
    <w:rsid w:val="00122A2B"/>
    <w:rsid w:val="001249B1"/>
    <w:rsid w:val="00125531"/>
    <w:rsid w:val="00126554"/>
    <w:rsid w:val="00127BC8"/>
    <w:rsid w:val="00130483"/>
    <w:rsid w:val="00130C64"/>
    <w:rsid w:val="0013119C"/>
    <w:rsid w:val="001360A0"/>
    <w:rsid w:val="00136B58"/>
    <w:rsid w:val="0013729D"/>
    <w:rsid w:val="001378A2"/>
    <w:rsid w:val="00141101"/>
    <w:rsid w:val="00141CC6"/>
    <w:rsid w:val="00143282"/>
    <w:rsid w:val="00144A75"/>
    <w:rsid w:val="0014526F"/>
    <w:rsid w:val="0015075E"/>
    <w:rsid w:val="001511CD"/>
    <w:rsid w:val="001632D2"/>
    <w:rsid w:val="0016377B"/>
    <w:rsid w:val="001641DD"/>
    <w:rsid w:val="001649F2"/>
    <w:rsid w:val="0016697A"/>
    <w:rsid w:val="00167CC1"/>
    <w:rsid w:val="00167DF7"/>
    <w:rsid w:val="00172398"/>
    <w:rsid w:val="001728C1"/>
    <w:rsid w:val="00173869"/>
    <w:rsid w:val="0018105E"/>
    <w:rsid w:val="001856D7"/>
    <w:rsid w:val="00186921"/>
    <w:rsid w:val="001871E1"/>
    <w:rsid w:val="001879A6"/>
    <w:rsid w:val="00192BFF"/>
    <w:rsid w:val="00193CDE"/>
    <w:rsid w:val="001942C0"/>
    <w:rsid w:val="001A066C"/>
    <w:rsid w:val="001A0727"/>
    <w:rsid w:val="001A206F"/>
    <w:rsid w:val="001A50A4"/>
    <w:rsid w:val="001B1C30"/>
    <w:rsid w:val="001B1E04"/>
    <w:rsid w:val="001B22EA"/>
    <w:rsid w:val="001B331A"/>
    <w:rsid w:val="001B5606"/>
    <w:rsid w:val="001B57C1"/>
    <w:rsid w:val="001B6347"/>
    <w:rsid w:val="001C449F"/>
    <w:rsid w:val="001C517D"/>
    <w:rsid w:val="001C53B3"/>
    <w:rsid w:val="001C553C"/>
    <w:rsid w:val="001C6110"/>
    <w:rsid w:val="001C74F9"/>
    <w:rsid w:val="001D0EC0"/>
    <w:rsid w:val="001D2EA7"/>
    <w:rsid w:val="001D6874"/>
    <w:rsid w:val="001D74A1"/>
    <w:rsid w:val="001E4D19"/>
    <w:rsid w:val="001E57FA"/>
    <w:rsid w:val="001F54C8"/>
    <w:rsid w:val="001F5A03"/>
    <w:rsid w:val="001F79E5"/>
    <w:rsid w:val="0020407F"/>
    <w:rsid w:val="0020598F"/>
    <w:rsid w:val="00206746"/>
    <w:rsid w:val="00206BB0"/>
    <w:rsid w:val="002076E3"/>
    <w:rsid w:val="00210A2B"/>
    <w:rsid w:val="002118F2"/>
    <w:rsid w:val="00214FEF"/>
    <w:rsid w:val="002175DD"/>
    <w:rsid w:val="00217E61"/>
    <w:rsid w:val="00217F6E"/>
    <w:rsid w:val="002209DF"/>
    <w:rsid w:val="00221E15"/>
    <w:rsid w:val="00224F54"/>
    <w:rsid w:val="00225950"/>
    <w:rsid w:val="00225E1C"/>
    <w:rsid w:val="00226734"/>
    <w:rsid w:val="00226EE9"/>
    <w:rsid w:val="00232060"/>
    <w:rsid w:val="00232F1D"/>
    <w:rsid w:val="00233FC4"/>
    <w:rsid w:val="00234B3B"/>
    <w:rsid w:val="00235F8B"/>
    <w:rsid w:val="00236D26"/>
    <w:rsid w:val="0024034A"/>
    <w:rsid w:val="002418CD"/>
    <w:rsid w:val="00241AA8"/>
    <w:rsid w:val="00242525"/>
    <w:rsid w:val="00242E1C"/>
    <w:rsid w:val="00243AED"/>
    <w:rsid w:val="00244DC8"/>
    <w:rsid w:val="00245188"/>
    <w:rsid w:val="0024707D"/>
    <w:rsid w:val="002512A3"/>
    <w:rsid w:val="00254782"/>
    <w:rsid w:val="0025565A"/>
    <w:rsid w:val="00255F1C"/>
    <w:rsid w:val="002565BE"/>
    <w:rsid w:val="002575F2"/>
    <w:rsid w:val="002578CB"/>
    <w:rsid w:val="00260466"/>
    <w:rsid w:val="00260805"/>
    <w:rsid w:val="00260A30"/>
    <w:rsid w:val="00260EEB"/>
    <w:rsid w:val="00262284"/>
    <w:rsid w:val="00262A7D"/>
    <w:rsid w:val="0026475C"/>
    <w:rsid w:val="00264D04"/>
    <w:rsid w:val="00264D9F"/>
    <w:rsid w:val="0026523B"/>
    <w:rsid w:val="00270F44"/>
    <w:rsid w:val="00271F2D"/>
    <w:rsid w:val="00272542"/>
    <w:rsid w:val="002744F3"/>
    <w:rsid w:val="00277626"/>
    <w:rsid w:val="00280B8A"/>
    <w:rsid w:val="00280F92"/>
    <w:rsid w:val="0028166B"/>
    <w:rsid w:val="002831B2"/>
    <w:rsid w:val="00291EB7"/>
    <w:rsid w:val="002924D5"/>
    <w:rsid w:val="00295DF2"/>
    <w:rsid w:val="00295E23"/>
    <w:rsid w:val="0029609F"/>
    <w:rsid w:val="0029654A"/>
    <w:rsid w:val="0029710A"/>
    <w:rsid w:val="002A04E4"/>
    <w:rsid w:val="002A1C06"/>
    <w:rsid w:val="002A2024"/>
    <w:rsid w:val="002A2C9B"/>
    <w:rsid w:val="002A3752"/>
    <w:rsid w:val="002A37E3"/>
    <w:rsid w:val="002A4231"/>
    <w:rsid w:val="002A534D"/>
    <w:rsid w:val="002B2B8B"/>
    <w:rsid w:val="002B388D"/>
    <w:rsid w:val="002B4B1E"/>
    <w:rsid w:val="002B588B"/>
    <w:rsid w:val="002B6211"/>
    <w:rsid w:val="002B62E2"/>
    <w:rsid w:val="002B7809"/>
    <w:rsid w:val="002B795A"/>
    <w:rsid w:val="002C183C"/>
    <w:rsid w:val="002C1D74"/>
    <w:rsid w:val="002C1F43"/>
    <w:rsid w:val="002C309E"/>
    <w:rsid w:val="002C4368"/>
    <w:rsid w:val="002C4683"/>
    <w:rsid w:val="002C604A"/>
    <w:rsid w:val="002D0E07"/>
    <w:rsid w:val="002D2483"/>
    <w:rsid w:val="002D26B5"/>
    <w:rsid w:val="002D2A22"/>
    <w:rsid w:val="002D4937"/>
    <w:rsid w:val="002D649B"/>
    <w:rsid w:val="002D67E7"/>
    <w:rsid w:val="002D6A3D"/>
    <w:rsid w:val="002E16FD"/>
    <w:rsid w:val="002E245A"/>
    <w:rsid w:val="002E3516"/>
    <w:rsid w:val="002E3759"/>
    <w:rsid w:val="002E45B4"/>
    <w:rsid w:val="002E691F"/>
    <w:rsid w:val="002E6C0C"/>
    <w:rsid w:val="002F0EA9"/>
    <w:rsid w:val="002F1523"/>
    <w:rsid w:val="002F34FA"/>
    <w:rsid w:val="002F3C42"/>
    <w:rsid w:val="002F4770"/>
    <w:rsid w:val="002F4EDB"/>
    <w:rsid w:val="002F6DCE"/>
    <w:rsid w:val="003000F8"/>
    <w:rsid w:val="003006A4"/>
    <w:rsid w:val="003012C1"/>
    <w:rsid w:val="00302AE0"/>
    <w:rsid w:val="003039C2"/>
    <w:rsid w:val="003060CB"/>
    <w:rsid w:val="00306E2E"/>
    <w:rsid w:val="00306F77"/>
    <w:rsid w:val="00307420"/>
    <w:rsid w:val="00311C3D"/>
    <w:rsid w:val="00314926"/>
    <w:rsid w:val="0032056A"/>
    <w:rsid w:val="00320698"/>
    <w:rsid w:val="00326C84"/>
    <w:rsid w:val="00327462"/>
    <w:rsid w:val="00333D5B"/>
    <w:rsid w:val="00335816"/>
    <w:rsid w:val="00341346"/>
    <w:rsid w:val="00341BEE"/>
    <w:rsid w:val="00341C57"/>
    <w:rsid w:val="00343C87"/>
    <w:rsid w:val="003462B8"/>
    <w:rsid w:val="003479F1"/>
    <w:rsid w:val="00350559"/>
    <w:rsid w:val="00354927"/>
    <w:rsid w:val="00361205"/>
    <w:rsid w:val="0036131C"/>
    <w:rsid w:val="0036266F"/>
    <w:rsid w:val="003632B8"/>
    <w:rsid w:val="0036359D"/>
    <w:rsid w:val="00364BE9"/>
    <w:rsid w:val="00365C39"/>
    <w:rsid w:val="0036707D"/>
    <w:rsid w:val="003707CA"/>
    <w:rsid w:val="00371E8B"/>
    <w:rsid w:val="00372264"/>
    <w:rsid w:val="0037232F"/>
    <w:rsid w:val="00373254"/>
    <w:rsid w:val="0037524B"/>
    <w:rsid w:val="00381C97"/>
    <w:rsid w:val="00382847"/>
    <w:rsid w:val="003829A0"/>
    <w:rsid w:val="0038357D"/>
    <w:rsid w:val="00385BA4"/>
    <w:rsid w:val="00387FD3"/>
    <w:rsid w:val="00392067"/>
    <w:rsid w:val="00393FE8"/>
    <w:rsid w:val="00394F7D"/>
    <w:rsid w:val="003969ED"/>
    <w:rsid w:val="003979C6"/>
    <w:rsid w:val="003A1794"/>
    <w:rsid w:val="003A1EE9"/>
    <w:rsid w:val="003A405A"/>
    <w:rsid w:val="003A6767"/>
    <w:rsid w:val="003B58BB"/>
    <w:rsid w:val="003B5EAE"/>
    <w:rsid w:val="003B78FC"/>
    <w:rsid w:val="003C0A80"/>
    <w:rsid w:val="003C4B8E"/>
    <w:rsid w:val="003C5B87"/>
    <w:rsid w:val="003C5BB6"/>
    <w:rsid w:val="003C62A8"/>
    <w:rsid w:val="003D072F"/>
    <w:rsid w:val="003D1F35"/>
    <w:rsid w:val="003D3EA0"/>
    <w:rsid w:val="003D5F6D"/>
    <w:rsid w:val="003E1876"/>
    <w:rsid w:val="003E18C3"/>
    <w:rsid w:val="003E3A15"/>
    <w:rsid w:val="003E44B6"/>
    <w:rsid w:val="003E52D0"/>
    <w:rsid w:val="003E74FE"/>
    <w:rsid w:val="003E75AE"/>
    <w:rsid w:val="003F0EC3"/>
    <w:rsid w:val="003F1734"/>
    <w:rsid w:val="003F1EE5"/>
    <w:rsid w:val="003F37D7"/>
    <w:rsid w:val="003F3DC0"/>
    <w:rsid w:val="003F532D"/>
    <w:rsid w:val="003F6B4B"/>
    <w:rsid w:val="003F7411"/>
    <w:rsid w:val="0040197A"/>
    <w:rsid w:val="0040235A"/>
    <w:rsid w:val="00404858"/>
    <w:rsid w:val="00406A6E"/>
    <w:rsid w:val="00407AD0"/>
    <w:rsid w:val="00410E70"/>
    <w:rsid w:val="00411585"/>
    <w:rsid w:val="00411BEA"/>
    <w:rsid w:val="004124B2"/>
    <w:rsid w:val="00412F4A"/>
    <w:rsid w:val="0041350E"/>
    <w:rsid w:val="004152A1"/>
    <w:rsid w:val="00415CA8"/>
    <w:rsid w:val="00420B87"/>
    <w:rsid w:val="004217D6"/>
    <w:rsid w:val="00422763"/>
    <w:rsid w:val="0042361A"/>
    <w:rsid w:val="00423902"/>
    <w:rsid w:val="00423A5F"/>
    <w:rsid w:val="004247B7"/>
    <w:rsid w:val="00426813"/>
    <w:rsid w:val="00426BB1"/>
    <w:rsid w:val="00431DB6"/>
    <w:rsid w:val="00431E78"/>
    <w:rsid w:val="004365FA"/>
    <w:rsid w:val="00436998"/>
    <w:rsid w:val="00437111"/>
    <w:rsid w:val="00437AB5"/>
    <w:rsid w:val="00441A52"/>
    <w:rsid w:val="00441A6C"/>
    <w:rsid w:val="004455B3"/>
    <w:rsid w:val="004479CB"/>
    <w:rsid w:val="00450B61"/>
    <w:rsid w:val="0045156C"/>
    <w:rsid w:val="004546B3"/>
    <w:rsid w:val="00455A18"/>
    <w:rsid w:val="004560AC"/>
    <w:rsid w:val="00460758"/>
    <w:rsid w:val="00460839"/>
    <w:rsid w:val="00461438"/>
    <w:rsid w:val="0046160E"/>
    <w:rsid w:val="0046582D"/>
    <w:rsid w:val="004672EE"/>
    <w:rsid w:val="0047032C"/>
    <w:rsid w:val="00473604"/>
    <w:rsid w:val="00473EE6"/>
    <w:rsid w:val="00474044"/>
    <w:rsid w:val="004744DB"/>
    <w:rsid w:val="004755AE"/>
    <w:rsid w:val="004756F4"/>
    <w:rsid w:val="00475A1E"/>
    <w:rsid w:val="00475C1D"/>
    <w:rsid w:val="00477567"/>
    <w:rsid w:val="004823A1"/>
    <w:rsid w:val="00487EC4"/>
    <w:rsid w:val="004939D3"/>
    <w:rsid w:val="00493C54"/>
    <w:rsid w:val="0049482B"/>
    <w:rsid w:val="00497183"/>
    <w:rsid w:val="004A0918"/>
    <w:rsid w:val="004A0FFA"/>
    <w:rsid w:val="004A5AA1"/>
    <w:rsid w:val="004A75E4"/>
    <w:rsid w:val="004B1FFF"/>
    <w:rsid w:val="004B347A"/>
    <w:rsid w:val="004B4201"/>
    <w:rsid w:val="004B481F"/>
    <w:rsid w:val="004B67B2"/>
    <w:rsid w:val="004C0072"/>
    <w:rsid w:val="004C08A5"/>
    <w:rsid w:val="004C0AD5"/>
    <w:rsid w:val="004C1B17"/>
    <w:rsid w:val="004C2304"/>
    <w:rsid w:val="004C2A23"/>
    <w:rsid w:val="004C2B6C"/>
    <w:rsid w:val="004C307C"/>
    <w:rsid w:val="004C426F"/>
    <w:rsid w:val="004D463C"/>
    <w:rsid w:val="004D7C97"/>
    <w:rsid w:val="004E075C"/>
    <w:rsid w:val="004E1E4A"/>
    <w:rsid w:val="004E2C9F"/>
    <w:rsid w:val="004E4555"/>
    <w:rsid w:val="004E612E"/>
    <w:rsid w:val="004E6ABC"/>
    <w:rsid w:val="004E73C0"/>
    <w:rsid w:val="004E7CFD"/>
    <w:rsid w:val="004F185B"/>
    <w:rsid w:val="004F2020"/>
    <w:rsid w:val="004F23C8"/>
    <w:rsid w:val="004F294C"/>
    <w:rsid w:val="004F4CDF"/>
    <w:rsid w:val="004F617B"/>
    <w:rsid w:val="004F6DCF"/>
    <w:rsid w:val="004F749E"/>
    <w:rsid w:val="004F7669"/>
    <w:rsid w:val="00501133"/>
    <w:rsid w:val="00501429"/>
    <w:rsid w:val="00503E30"/>
    <w:rsid w:val="0050421A"/>
    <w:rsid w:val="00505893"/>
    <w:rsid w:val="005058E0"/>
    <w:rsid w:val="00505ED0"/>
    <w:rsid w:val="005136AC"/>
    <w:rsid w:val="00514C0A"/>
    <w:rsid w:val="00515777"/>
    <w:rsid w:val="00517E82"/>
    <w:rsid w:val="00520829"/>
    <w:rsid w:val="00522778"/>
    <w:rsid w:val="00522A14"/>
    <w:rsid w:val="00524170"/>
    <w:rsid w:val="005263C4"/>
    <w:rsid w:val="005265FF"/>
    <w:rsid w:val="00526F99"/>
    <w:rsid w:val="00527657"/>
    <w:rsid w:val="00530903"/>
    <w:rsid w:val="00531AE8"/>
    <w:rsid w:val="00531EC4"/>
    <w:rsid w:val="0053361D"/>
    <w:rsid w:val="00535062"/>
    <w:rsid w:val="0053530D"/>
    <w:rsid w:val="0053720C"/>
    <w:rsid w:val="00537CB8"/>
    <w:rsid w:val="005434A6"/>
    <w:rsid w:val="0054542F"/>
    <w:rsid w:val="005471A0"/>
    <w:rsid w:val="00550C5C"/>
    <w:rsid w:val="00552C69"/>
    <w:rsid w:val="00555575"/>
    <w:rsid w:val="005570BA"/>
    <w:rsid w:val="00561665"/>
    <w:rsid w:val="0056294E"/>
    <w:rsid w:val="00565210"/>
    <w:rsid w:val="00565A04"/>
    <w:rsid w:val="00567528"/>
    <w:rsid w:val="00576B53"/>
    <w:rsid w:val="00586B31"/>
    <w:rsid w:val="00587292"/>
    <w:rsid w:val="005929B4"/>
    <w:rsid w:val="00595F93"/>
    <w:rsid w:val="005A1DB5"/>
    <w:rsid w:val="005A4D96"/>
    <w:rsid w:val="005A6D77"/>
    <w:rsid w:val="005A7093"/>
    <w:rsid w:val="005A7C46"/>
    <w:rsid w:val="005B1194"/>
    <w:rsid w:val="005B1AE9"/>
    <w:rsid w:val="005B2D7B"/>
    <w:rsid w:val="005B5A3C"/>
    <w:rsid w:val="005B703E"/>
    <w:rsid w:val="005C0A7D"/>
    <w:rsid w:val="005C1012"/>
    <w:rsid w:val="005C1440"/>
    <w:rsid w:val="005C284E"/>
    <w:rsid w:val="005C3A71"/>
    <w:rsid w:val="005C4BBB"/>
    <w:rsid w:val="005C7B69"/>
    <w:rsid w:val="005D28B0"/>
    <w:rsid w:val="005D3D84"/>
    <w:rsid w:val="005D55D8"/>
    <w:rsid w:val="005D6099"/>
    <w:rsid w:val="005D6706"/>
    <w:rsid w:val="005D6852"/>
    <w:rsid w:val="005E0029"/>
    <w:rsid w:val="005E1967"/>
    <w:rsid w:val="005E1BA0"/>
    <w:rsid w:val="005F0174"/>
    <w:rsid w:val="005F2993"/>
    <w:rsid w:val="005F37A4"/>
    <w:rsid w:val="005F3894"/>
    <w:rsid w:val="005F3F3D"/>
    <w:rsid w:val="005F4691"/>
    <w:rsid w:val="005F6324"/>
    <w:rsid w:val="005F7596"/>
    <w:rsid w:val="006019C3"/>
    <w:rsid w:val="00601C9D"/>
    <w:rsid w:val="006032DD"/>
    <w:rsid w:val="006046F3"/>
    <w:rsid w:val="00606051"/>
    <w:rsid w:val="00612313"/>
    <w:rsid w:val="00613747"/>
    <w:rsid w:val="00614EDD"/>
    <w:rsid w:val="00616C81"/>
    <w:rsid w:val="00622158"/>
    <w:rsid w:val="00622D9B"/>
    <w:rsid w:val="006236B4"/>
    <w:rsid w:val="00623787"/>
    <w:rsid w:val="006244E0"/>
    <w:rsid w:val="0062468A"/>
    <w:rsid w:val="00626C88"/>
    <w:rsid w:val="00626D13"/>
    <w:rsid w:val="00631E9A"/>
    <w:rsid w:val="00631F22"/>
    <w:rsid w:val="00633D13"/>
    <w:rsid w:val="00634924"/>
    <w:rsid w:val="00635C52"/>
    <w:rsid w:val="00636295"/>
    <w:rsid w:val="00640FAA"/>
    <w:rsid w:val="00641CEE"/>
    <w:rsid w:val="00642B29"/>
    <w:rsid w:val="00642DA5"/>
    <w:rsid w:val="00642E1E"/>
    <w:rsid w:val="0064338C"/>
    <w:rsid w:val="00643467"/>
    <w:rsid w:val="0064438F"/>
    <w:rsid w:val="00646035"/>
    <w:rsid w:val="006461C9"/>
    <w:rsid w:val="00646F24"/>
    <w:rsid w:val="00650DF3"/>
    <w:rsid w:val="00652400"/>
    <w:rsid w:val="00653A00"/>
    <w:rsid w:val="0066061A"/>
    <w:rsid w:val="006607A6"/>
    <w:rsid w:val="006612B3"/>
    <w:rsid w:val="0066282D"/>
    <w:rsid w:val="00663DCC"/>
    <w:rsid w:val="00664F21"/>
    <w:rsid w:val="006650B1"/>
    <w:rsid w:val="006654E2"/>
    <w:rsid w:val="006679F2"/>
    <w:rsid w:val="00667AC0"/>
    <w:rsid w:val="006711E6"/>
    <w:rsid w:val="006714D3"/>
    <w:rsid w:val="00671C86"/>
    <w:rsid w:val="006725E8"/>
    <w:rsid w:val="00677BD2"/>
    <w:rsid w:val="00677E15"/>
    <w:rsid w:val="00681398"/>
    <w:rsid w:val="00682700"/>
    <w:rsid w:val="006855DB"/>
    <w:rsid w:val="00686B5D"/>
    <w:rsid w:val="006906FD"/>
    <w:rsid w:val="00691B55"/>
    <w:rsid w:val="006922D7"/>
    <w:rsid w:val="00692810"/>
    <w:rsid w:val="006933EE"/>
    <w:rsid w:val="0069599C"/>
    <w:rsid w:val="00695A9C"/>
    <w:rsid w:val="00696848"/>
    <w:rsid w:val="006A14CE"/>
    <w:rsid w:val="006A3E5A"/>
    <w:rsid w:val="006A4575"/>
    <w:rsid w:val="006A470F"/>
    <w:rsid w:val="006A591A"/>
    <w:rsid w:val="006A6C27"/>
    <w:rsid w:val="006A6D16"/>
    <w:rsid w:val="006B160E"/>
    <w:rsid w:val="006B31A3"/>
    <w:rsid w:val="006B3DF3"/>
    <w:rsid w:val="006B4B49"/>
    <w:rsid w:val="006B4BB9"/>
    <w:rsid w:val="006B53BB"/>
    <w:rsid w:val="006B699C"/>
    <w:rsid w:val="006B6C70"/>
    <w:rsid w:val="006B770E"/>
    <w:rsid w:val="006C0FCF"/>
    <w:rsid w:val="006C50EE"/>
    <w:rsid w:val="006C54FA"/>
    <w:rsid w:val="006C5F4C"/>
    <w:rsid w:val="006C5FFC"/>
    <w:rsid w:val="006D00A4"/>
    <w:rsid w:val="006D0CB8"/>
    <w:rsid w:val="006D16E2"/>
    <w:rsid w:val="006D1EE1"/>
    <w:rsid w:val="006D2ED7"/>
    <w:rsid w:val="006D3976"/>
    <w:rsid w:val="006D534E"/>
    <w:rsid w:val="006D70C1"/>
    <w:rsid w:val="006D71AA"/>
    <w:rsid w:val="006E3072"/>
    <w:rsid w:val="006E4FA4"/>
    <w:rsid w:val="006E5499"/>
    <w:rsid w:val="006E5D09"/>
    <w:rsid w:val="006E5D2B"/>
    <w:rsid w:val="006E6377"/>
    <w:rsid w:val="006E73BF"/>
    <w:rsid w:val="006F021E"/>
    <w:rsid w:val="006F1820"/>
    <w:rsid w:val="006F25B2"/>
    <w:rsid w:val="006F2E86"/>
    <w:rsid w:val="006F483D"/>
    <w:rsid w:val="006F6017"/>
    <w:rsid w:val="00701D9F"/>
    <w:rsid w:val="00702C4F"/>
    <w:rsid w:val="00706EF1"/>
    <w:rsid w:val="007071EF"/>
    <w:rsid w:val="007110C3"/>
    <w:rsid w:val="00711204"/>
    <w:rsid w:val="00711D7D"/>
    <w:rsid w:val="007124F0"/>
    <w:rsid w:val="007129EC"/>
    <w:rsid w:val="00714952"/>
    <w:rsid w:val="00715ED1"/>
    <w:rsid w:val="007164D9"/>
    <w:rsid w:val="00716FF6"/>
    <w:rsid w:val="007174F1"/>
    <w:rsid w:val="007209C1"/>
    <w:rsid w:val="00720A59"/>
    <w:rsid w:val="0072221C"/>
    <w:rsid w:val="007236DE"/>
    <w:rsid w:val="00723E0A"/>
    <w:rsid w:val="00726964"/>
    <w:rsid w:val="00727924"/>
    <w:rsid w:val="00730223"/>
    <w:rsid w:val="00730F22"/>
    <w:rsid w:val="00731692"/>
    <w:rsid w:val="00733312"/>
    <w:rsid w:val="0073481D"/>
    <w:rsid w:val="00734FF6"/>
    <w:rsid w:val="0073576C"/>
    <w:rsid w:val="0073658A"/>
    <w:rsid w:val="00740007"/>
    <w:rsid w:val="00740BAC"/>
    <w:rsid w:val="00740CDE"/>
    <w:rsid w:val="00740DE7"/>
    <w:rsid w:val="007414ED"/>
    <w:rsid w:val="0074244B"/>
    <w:rsid w:val="00743ACF"/>
    <w:rsid w:val="0074448F"/>
    <w:rsid w:val="00747295"/>
    <w:rsid w:val="007504A0"/>
    <w:rsid w:val="007512AA"/>
    <w:rsid w:val="007525E1"/>
    <w:rsid w:val="00752FCF"/>
    <w:rsid w:val="007609BC"/>
    <w:rsid w:val="00764ED2"/>
    <w:rsid w:val="00764FF4"/>
    <w:rsid w:val="007665B0"/>
    <w:rsid w:val="00766611"/>
    <w:rsid w:val="00767014"/>
    <w:rsid w:val="00767F8B"/>
    <w:rsid w:val="00770333"/>
    <w:rsid w:val="00771B04"/>
    <w:rsid w:val="007741A2"/>
    <w:rsid w:val="007743BB"/>
    <w:rsid w:val="00777CBF"/>
    <w:rsid w:val="00777D9B"/>
    <w:rsid w:val="00780577"/>
    <w:rsid w:val="007830C8"/>
    <w:rsid w:val="00784432"/>
    <w:rsid w:val="007849C7"/>
    <w:rsid w:val="00786101"/>
    <w:rsid w:val="00786547"/>
    <w:rsid w:val="007879D6"/>
    <w:rsid w:val="00790B09"/>
    <w:rsid w:val="007920E6"/>
    <w:rsid w:val="00792C51"/>
    <w:rsid w:val="00792CCC"/>
    <w:rsid w:val="00793A3A"/>
    <w:rsid w:val="0079478B"/>
    <w:rsid w:val="00796211"/>
    <w:rsid w:val="00797D2C"/>
    <w:rsid w:val="007A13F6"/>
    <w:rsid w:val="007A187E"/>
    <w:rsid w:val="007A1AA9"/>
    <w:rsid w:val="007A2C86"/>
    <w:rsid w:val="007A35DA"/>
    <w:rsid w:val="007A39AE"/>
    <w:rsid w:val="007A40FD"/>
    <w:rsid w:val="007A421E"/>
    <w:rsid w:val="007A469B"/>
    <w:rsid w:val="007A4786"/>
    <w:rsid w:val="007A5415"/>
    <w:rsid w:val="007A5B34"/>
    <w:rsid w:val="007A615C"/>
    <w:rsid w:val="007A62A2"/>
    <w:rsid w:val="007B1999"/>
    <w:rsid w:val="007B1D2C"/>
    <w:rsid w:val="007B47C4"/>
    <w:rsid w:val="007B5070"/>
    <w:rsid w:val="007B667C"/>
    <w:rsid w:val="007B69B1"/>
    <w:rsid w:val="007B77E3"/>
    <w:rsid w:val="007B7E1B"/>
    <w:rsid w:val="007C1794"/>
    <w:rsid w:val="007C1FDD"/>
    <w:rsid w:val="007C434F"/>
    <w:rsid w:val="007D1094"/>
    <w:rsid w:val="007D1993"/>
    <w:rsid w:val="007D2C9B"/>
    <w:rsid w:val="007D3AB6"/>
    <w:rsid w:val="007D3B7B"/>
    <w:rsid w:val="007D42FD"/>
    <w:rsid w:val="007D4D1D"/>
    <w:rsid w:val="007D73B8"/>
    <w:rsid w:val="007E1BDE"/>
    <w:rsid w:val="007E416E"/>
    <w:rsid w:val="007E4F26"/>
    <w:rsid w:val="007E6D06"/>
    <w:rsid w:val="007F0ECD"/>
    <w:rsid w:val="007F599C"/>
    <w:rsid w:val="00800A2F"/>
    <w:rsid w:val="00803997"/>
    <w:rsid w:val="0080433F"/>
    <w:rsid w:val="0080608F"/>
    <w:rsid w:val="008076DD"/>
    <w:rsid w:val="00812534"/>
    <w:rsid w:val="00812D33"/>
    <w:rsid w:val="00813CEF"/>
    <w:rsid w:val="00814A7E"/>
    <w:rsid w:val="00814C59"/>
    <w:rsid w:val="008208C6"/>
    <w:rsid w:val="00833BC1"/>
    <w:rsid w:val="00834D1B"/>
    <w:rsid w:val="00836735"/>
    <w:rsid w:val="00842CE8"/>
    <w:rsid w:val="00843DFE"/>
    <w:rsid w:val="008448EA"/>
    <w:rsid w:val="008450E5"/>
    <w:rsid w:val="00846D3C"/>
    <w:rsid w:val="00850F58"/>
    <w:rsid w:val="008511AB"/>
    <w:rsid w:val="00851D08"/>
    <w:rsid w:val="0085324C"/>
    <w:rsid w:val="00854754"/>
    <w:rsid w:val="00855C5B"/>
    <w:rsid w:val="00860269"/>
    <w:rsid w:val="00860828"/>
    <w:rsid w:val="0086092B"/>
    <w:rsid w:val="00861692"/>
    <w:rsid w:val="00861849"/>
    <w:rsid w:val="00862B5E"/>
    <w:rsid w:val="00864E15"/>
    <w:rsid w:val="00865022"/>
    <w:rsid w:val="00865169"/>
    <w:rsid w:val="0086562A"/>
    <w:rsid w:val="008720EF"/>
    <w:rsid w:val="008736B6"/>
    <w:rsid w:val="008746C9"/>
    <w:rsid w:val="0087529C"/>
    <w:rsid w:val="00875EE4"/>
    <w:rsid w:val="00876A3C"/>
    <w:rsid w:val="00877315"/>
    <w:rsid w:val="00877A24"/>
    <w:rsid w:val="00880271"/>
    <w:rsid w:val="0088144D"/>
    <w:rsid w:val="00883315"/>
    <w:rsid w:val="0088771A"/>
    <w:rsid w:val="00887726"/>
    <w:rsid w:val="00891ADF"/>
    <w:rsid w:val="008932E6"/>
    <w:rsid w:val="008969B9"/>
    <w:rsid w:val="00896F79"/>
    <w:rsid w:val="008970B2"/>
    <w:rsid w:val="008A01F2"/>
    <w:rsid w:val="008A1933"/>
    <w:rsid w:val="008A4757"/>
    <w:rsid w:val="008A59E2"/>
    <w:rsid w:val="008A6808"/>
    <w:rsid w:val="008A6F86"/>
    <w:rsid w:val="008A6F88"/>
    <w:rsid w:val="008A7C7E"/>
    <w:rsid w:val="008B04D9"/>
    <w:rsid w:val="008B15BD"/>
    <w:rsid w:val="008B1627"/>
    <w:rsid w:val="008B1F63"/>
    <w:rsid w:val="008B28F1"/>
    <w:rsid w:val="008B2E64"/>
    <w:rsid w:val="008B51CA"/>
    <w:rsid w:val="008B567B"/>
    <w:rsid w:val="008B6796"/>
    <w:rsid w:val="008B79BE"/>
    <w:rsid w:val="008B7A59"/>
    <w:rsid w:val="008B7FCC"/>
    <w:rsid w:val="008C0D96"/>
    <w:rsid w:val="008C19F8"/>
    <w:rsid w:val="008C2745"/>
    <w:rsid w:val="008C2F7E"/>
    <w:rsid w:val="008C3CB2"/>
    <w:rsid w:val="008C637F"/>
    <w:rsid w:val="008C75A9"/>
    <w:rsid w:val="008C76B3"/>
    <w:rsid w:val="008C7BD1"/>
    <w:rsid w:val="008D19C1"/>
    <w:rsid w:val="008D572D"/>
    <w:rsid w:val="008D5831"/>
    <w:rsid w:val="008D724A"/>
    <w:rsid w:val="008D7E10"/>
    <w:rsid w:val="008E028E"/>
    <w:rsid w:val="008E045B"/>
    <w:rsid w:val="008F1C64"/>
    <w:rsid w:val="008F3413"/>
    <w:rsid w:val="008F503B"/>
    <w:rsid w:val="008F5402"/>
    <w:rsid w:val="008F585F"/>
    <w:rsid w:val="008F5D94"/>
    <w:rsid w:val="008F6B03"/>
    <w:rsid w:val="008F7815"/>
    <w:rsid w:val="009012E9"/>
    <w:rsid w:val="00903A27"/>
    <w:rsid w:val="00903F99"/>
    <w:rsid w:val="0090411D"/>
    <w:rsid w:val="009075BA"/>
    <w:rsid w:val="00907FF9"/>
    <w:rsid w:val="0091054E"/>
    <w:rsid w:val="0091076A"/>
    <w:rsid w:val="0091446D"/>
    <w:rsid w:val="009169A1"/>
    <w:rsid w:val="0091765A"/>
    <w:rsid w:val="009229CB"/>
    <w:rsid w:val="00923503"/>
    <w:rsid w:val="00924777"/>
    <w:rsid w:val="00925B0E"/>
    <w:rsid w:val="00927D0E"/>
    <w:rsid w:val="00930473"/>
    <w:rsid w:val="00930589"/>
    <w:rsid w:val="009332C6"/>
    <w:rsid w:val="00934774"/>
    <w:rsid w:val="00937427"/>
    <w:rsid w:val="0093781D"/>
    <w:rsid w:val="00937B78"/>
    <w:rsid w:val="009423B4"/>
    <w:rsid w:val="0094550F"/>
    <w:rsid w:val="00945533"/>
    <w:rsid w:val="009468C6"/>
    <w:rsid w:val="00950524"/>
    <w:rsid w:val="00950D55"/>
    <w:rsid w:val="0095233A"/>
    <w:rsid w:val="0095338A"/>
    <w:rsid w:val="00955C1D"/>
    <w:rsid w:val="009578F6"/>
    <w:rsid w:val="00957B36"/>
    <w:rsid w:val="009618E4"/>
    <w:rsid w:val="00962DA3"/>
    <w:rsid w:val="00963596"/>
    <w:rsid w:val="00964AD8"/>
    <w:rsid w:val="00965DBE"/>
    <w:rsid w:val="00967196"/>
    <w:rsid w:val="00967D6A"/>
    <w:rsid w:val="009703E3"/>
    <w:rsid w:val="009737A2"/>
    <w:rsid w:val="009743AE"/>
    <w:rsid w:val="009774A4"/>
    <w:rsid w:val="00977B40"/>
    <w:rsid w:val="00980B1B"/>
    <w:rsid w:val="009817D4"/>
    <w:rsid w:val="009821E0"/>
    <w:rsid w:val="00983664"/>
    <w:rsid w:val="00985693"/>
    <w:rsid w:val="009864F1"/>
    <w:rsid w:val="009866C3"/>
    <w:rsid w:val="00991971"/>
    <w:rsid w:val="00993989"/>
    <w:rsid w:val="00995352"/>
    <w:rsid w:val="00997FE0"/>
    <w:rsid w:val="009A00CB"/>
    <w:rsid w:val="009A107B"/>
    <w:rsid w:val="009B35B8"/>
    <w:rsid w:val="009B4632"/>
    <w:rsid w:val="009B52BD"/>
    <w:rsid w:val="009B5943"/>
    <w:rsid w:val="009C660A"/>
    <w:rsid w:val="009C6945"/>
    <w:rsid w:val="009C6A68"/>
    <w:rsid w:val="009C73C4"/>
    <w:rsid w:val="009D02E8"/>
    <w:rsid w:val="009D08C4"/>
    <w:rsid w:val="009D0CEB"/>
    <w:rsid w:val="009D16C6"/>
    <w:rsid w:val="009D2234"/>
    <w:rsid w:val="009D32F6"/>
    <w:rsid w:val="009D3F7C"/>
    <w:rsid w:val="009D5DF1"/>
    <w:rsid w:val="009D5FAB"/>
    <w:rsid w:val="009E05EB"/>
    <w:rsid w:val="009E093F"/>
    <w:rsid w:val="009E141C"/>
    <w:rsid w:val="009E2C9D"/>
    <w:rsid w:val="009E4B57"/>
    <w:rsid w:val="009E502C"/>
    <w:rsid w:val="009E6850"/>
    <w:rsid w:val="009E741F"/>
    <w:rsid w:val="009E77BE"/>
    <w:rsid w:val="009F0947"/>
    <w:rsid w:val="009F0BB5"/>
    <w:rsid w:val="009F4AE2"/>
    <w:rsid w:val="009F7648"/>
    <w:rsid w:val="009F7D10"/>
    <w:rsid w:val="00A00594"/>
    <w:rsid w:val="00A01115"/>
    <w:rsid w:val="00A0176B"/>
    <w:rsid w:val="00A02014"/>
    <w:rsid w:val="00A032C4"/>
    <w:rsid w:val="00A061D1"/>
    <w:rsid w:val="00A073CC"/>
    <w:rsid w:val="00A10F2D"/>
    <w:rsid w:val="00A16626"/>
    <w:rsid w:val="00A213D5"/>
    <w:rsid w:val="00A21A32"/>
    <w:rsid w:val="00A21FEA"/>
    <w:rsid w:val="00A222E8"/>
    <w:rsid w:val="00A2343E"/>
    <w:rsid w:val="00A2362E"/>
    <w:rsid w:val="00A23F13"/>
    <w:rsid w:val="00A23FA1"/>
    <w:rsid w:val="00A27823"/>
    <w:rsid w:val="00A27A8B"/>
    <w:rsid w:val="00A32AF8"/>
    <w:rsid w:val="00A37F32"/>
    <w:rsid w:val="00A41653"/>
    <w:rsid w:val="00A42009"/>
    <w:rsid w:val="00A421E7"/>
    <w:rsid w:val="00A424FD"/>
    <w:rsid w:val="00A434AC"/>
    <w:rsid w:val="00A4484A"/>
    <w:rsid w:val="00A448AF"/>
    <w:rsid w:val="00A452C6"/>
    <w:rsid w:val="00A46F63"/>
    <w:rsid w:val="00A477A8"/>
    <w:rsid w:val="00A529E9"/>
    <w:rsid w:val="00A545EF"/>
    <w:rsid w:val="00A56FD5"/>
    <w:rsid w:val="00A57049"/>
    <w:rsid w:val="00A57128"/>
    <w:rsid w:val="00A5748B"/>
    <w:rsid w:val="00A60012"/>
    <w:rsid w:val="00A61BAF"/>
    <w:rsid w:val="00A62A45"/>
    <w:rsid w:val="00A6410D"/>
    <w:rsid w:val="00A648F7"/>
    <w:rsid w:val="00A65DD0"/>
    <w:rsid w:val="00A66251"/>
    <w:rsid w:val="00A666DE"/>
    <w:rsid w:val="00A71702"/>
    <w:rsid w:val="00A801F7"/>
    <w:rsid w:val="00A825B3"/>
    <w:rsid w:val="00A83C2E"/>
    <w:rsid w:val="00A84BDA"/>
    <w:rsid w:val="00A8512D"/>
    <w:rsid w:val="00A85965"/>
    <w:rsid w:val="00A85A1B"/>
    <w:rsid w:val="00A85AA4"/>
    <w:rsid w:val="00A92C70"/>
    <w:rsid w:val="00A9347D"/>
    <w:rsid w:val="00A9749A"/>
    <w:rsid w:val="00AA237B"/>
    <w:rsid w:val="00AA27AA"/>
    <w:rsid w:val="00AA3279"/>
    <w:rsid w:val="00AA6622"/>
    <w:rsid w:val="00AB11FF"/>
    <w:rsid w:val="00AB21C5"/>
    <w:rsid w:val="00AB29FE"/>
    <w:rsid w:val="00AB30EB"/>
    <w:rsid w:val="00AB45B7"/>
    <w:rsid w:val="00AB467A"/>
    <w:rsid w:val="00AB46CD"/>
    <w:rsid w:val="00AC0063"/>
    <w:rsid w:val="00AC03FA"/>
    <w:rsid w:val="00AC0926"/>
    <w:rsid w:val="00AC3057"/>
    <w:rsid w:val="00AC3816"/>
    <w:rsid w:val="00AC6726"/>
    <w:rsid w:val="00AD13BA"/>
    <w:rsid w:val="00AD21D8"/>
    <w:rsid w:val="00AD4528"/>
    <w:rsid w:val="00AD5B1E"/>
    <w:rsid w:val="00AD64D8"/>
    <w:rsid w:val="00AD664A"/>
    <w:rsid w:val="00AD68E9"/>
    <w:rsid w:val="00AD6D2F"/>
    <w:rsid w:val="00AD6ECB"/>
    <w:rsid w:val="00AD777D"/>
    <w:rsid w:val="00AE1020"/>
    <w:rsid w:val="00AE1314"/>
    <w:rsid w:val="00AE2036"/>
    <w:rsid w:val="00AE2A4A"/>
    <w:rsid w:val="00AE38F9"/>
    <w:rsid w:val="00AE43CB"/>
    <w:rsid w:val="00AE5BF4"/>
    <w:rsid w:val="00AE7679"/>
    <w:rsid w:val="00AF142D"/>
    <w:rsid w:val="00AF36B2"/>
    <w:rsid w:val="00B00EC2"/>
    <w:rsid w:val="00B02483"/>
    <w:rsid w:val="00B0253E"/>
    <w:rsid w:val="00B02717"/>
    <w:rsid w:val="00B02824"/>
    <w:rsid w:val="00B02ECB"/>
    <w:rsid w:val="00B04717"/>
    <w:rsid w:val="00B06B5A"/>
    <w:rsid w:val="00B1082D"/>
    <w:rsid w:val="00B11421"/>
    <w:rsid w:val="00B12FFA"/>
    <w:rsid w:val="00B13C28"/>
    <w:rsid w:val="00B13F8C"/>
    <w:rsid w:val="00B143EB"/>
    <w:rsid w:val="00B144FE"/>
    <w:rsid w:val="00B150D2"/>
    <w:rsid w:val="00B16141"/>
    <w:rsid w:val="00B171C8"/>
    <w:rsid w:val="00B20BCE"/>
    <w:rsid w:val="00B21354"/>
    <w:rsid w:val="00B228B4"/>
    <w:rsid w:val="00B22A9E"/>
    <w:rsid w:val="00B23B19"/>
    <w:rsid w:val="00B24A68"/>
    <w:rsid w:val="00B2541C"/>
    <w:rsid w:val="00B25ED8"/>
    <w:rsid w:val="00B26745"/>
    <w:rsid w:val="00B2705D"/>
    <w:rsid w:val="00B33151"/>
    <w:rsid w:val="00B3377D"/>
    <w:rsid w:val="00B33F3B"/>
    <w:rsid w:val="00B3430E"/>
    <w:rsid w:val="00B34981"/>
    <w:rsid w:val="00B3547B"/>
    <w:rsid w:val="00B356D5"/>
    <w:rsid w:val="00B360D6"/>
    <w:rsid w:val="00B36A81"/>
    <w:rsid w:val="00B37D40"/>
    <w:rsid w:val="00B41000"/>
    <w:rsid w:val="00B4189C"/>
    <w:rsid w:val="00B41D7D"/>
    <w:rsid w:val="00B435C2"/>
    <w:rsid w:val="00B452A3"/>
    <w:rsid w:val="00B45668"/>
    <w:rsid w:val="00B46F09"/>
    <w:rsid w:val="00B538B3"/>
    <w:rsid w:val="00B53FA0"/>
    <w:rsid w:val="00B55C9E"/>
    <w:rsid w:val="00B56BDF"/>
    <w:rsid w:val="00B56FFD"/>
    <w:rsid w:val="00B64639"/>
    <w:rsid w:val="00B66A20"/>
    <w:rsid w:val="00B66DFA"/>
    <w:rsid w:val="00B7000A"/>
    <w:rsid w:val="00B70B10"/>
    <w:rsid w:val="00B70D3D"/>
    <w:rsid w:val="00B70FA1"/>
    <w:rsid w:val="00B74BFC"/>
    <w:rsid w:val="00B75401"/>
    <w:rsid w:val="00B77092"/>
    <w:rsid w:val="00B772C7"/>
    <w:rsid w:val="00B776A4"/>
    <w:rsid w:val="00B80B9E"/>
    <w:rsid w:val="00B84383"/>
    <w:rsid w:val="00B84C5E"/>
    <w:rsid w:val="00B867AF"/>
    <w:rsid w:val="00B872F3"/>
    <w:rsid w:val="00B9048C"/>
    <w:rsid w:val="00B90BCD"/>
    <w:rsid w:val="00B94B0D"/>
    <w:rsid w:val="00B94D48"/>
    <w:rsid w:val="00B96775"/>
    <w:rsid w:val="00B96F4A"/>
    <w:rsid w:val="00B97A87"/>
    <w:rsid w:val="00B97AEA"/>
    <w:rsid w:val="00B97FDF"/>
    <w:rsid w:val="00BA06DD"/>
    <w:rsid w:val="00BA2565"/>
    <w:rsid w:val="00BA26D4"/>
    <w:rsid w:val="00BA2B73"/>
    <w:rsid w:val="00BA388C"/>
    <w:rsid w:val="00BA44C0"/>
    <w:rsid w:val="00BA507F"/>
    <w:rsid w:val="00BA5B2C"/>
    <w:rsid w:val="00BA607A"/>
    <w:rsid w:val="00BA78BA"/>
    <w:rsid w:val="00BB12DD"/>
    <w:rsid w:val="00BB3C7E"/>
    <w:rsid w:val="00BB3E64"/>
    <w:rsid w:val="00BB4200"/>
    <w:rsid w:val="00BB64FC"/>
    <w:rsid w:val="00BB74E8"/>
    <w:rsid w:val="00BB7500"/>
    <w:rsid w:val="00BB7D40"/>
    <w:rsid w:val="00BC0C02"/>
    <w:rsid w:val="00BC1094"/>
    <w:rsid w:val="00BC34C9"/>
    <w:rsid w:val="00BC601D"/>
    <w:rsid w:val="00BC7868"/>
    <w:rsid w:val="00BC7986"/>
    <w:rsid w:val="00BD0E70"/>
    <w:rsid w:val="00BD47E1"/>
    <w:rsid w:val="00BD66D3"/>
    <w:rsid w:val="00BD79A5"/>
    <w:rsid w:val="00BE43F0"/>
    <w:rsid w:val="00BE4E10"/>
    <w:rsid w:val="00BE53D4"/>
    <w:rsid w:val="00BE5647"/>
    <w:rsid w:val="00BE7B8D"/>
    <w:rsid w:val="00BF3FCA"/>
    <w:rsid w:val="00BF44B7"/>
    <w:rsid w:val="00BF47F2"/>
    <w:rsid w:val="00BF5B3E"/>
    <w:rsid w:val="00BF6014"/>
    <w:rsid w:val="00BF607B"/>
    <w:rsid w:val="00BF65F2"/>
    <w:rsid w:val="00BF7B52"/>
    <w:rsid w:val="00C008F7"/>
    <w:rsid w:val="00C01B87"/>
    <w:rsid w:val="00C044F1"/>
    <w:rsid w:val="00C045E7"/>
    <w:rsid w:val="00C05E36"/>
    <w:rsid w:val="00C075D7"/>
    <w:rsid w:val="00C07A96"/>
    <w:rsid w:val="00C10000"/>
    <w:rsid w:val="00C1044D"/>
    <w:rsid w:val="00C11439"/>
    <w:rsid w:val="00C13953"/>
    <w:rsid w:val="00C15451"/>
    <w:rsid w:val="00C15595"/>
    <w:rsid w:val="00C15C1A"/>
    <w:rsid w:val="00C166CD"/>
    <w:rsid w:val="00C16B2A"/>
    <w:rsid w:val="00C16B33"/>
    <w:rsid w:val="00C1790C"/>
    <w:rsid w:val="00C203CB"/>
    <w:rsid w:val="00C213DB"/>
    <w:rsid w:val="00C23082"/>
    <w:rsid w:val="00C231D1"/>
    <w:rsid w:val="00C23562"/>
    <w:rsid w:val="00C23A79"/>
    <w:rsid w:val="00C23CB8"/>
    <w:rsid w:val="00C255E4"/>
    <w:rsid w:val="00C26B4E"/>
    <w:rsid w:val="00C276D0"/>
    <w:rsid w:val="00C3339F"/>
    <w:rsid w:val="00C34EE9"/>
    <w:rsid w:val="00C352E7"/>
    <w:rsid w:val="00C36E64"/>
    <w:rsid w:val="00C40963"/>
    <w:rsid w:val="00C433E7"/>
    <w:rsid w:val="00C43528"/>
    <w:rsid w:val="00C4553B"/>
    <w:rsid w:val="00C46656"/>
    <w:rsid w:val="00C47EC6"/>
    <w:rsid w:val="00C5163F"/>
    <w:rsid w:val="00C52A95"/>
    <w:rsid w:val="00C52F21"/>
    <w:rsid w:val="00C54573"/>
    <w:rsid w:val="00C553BF"/>
    <w:rsid w:val="00C56782"/>
    <w:rsid w:val="00C57F8B"/>
    <w:rsid w:val="00C602DB"/>
    <w:rsid w:val="00C60AEC"/>
    <w:rsid w:val="00C619C2"/>
    <w:rsid w:val="00C62797"/>
    <w:rsid w:val="00C62E3B"/>
    <w:rsid w:val="00C63B64"/>
    <w:rsid w:val="00C63C48"/>
    <w:rsid w:val="00C65109"/>
    <w:rsid w:val="00C65293"/>
    <w:rsid w:val="00C6552D"/>
    <w:rsid w:val="00C65AE6"/>
    <w:rsid w:val="00C6626F"/>
    <w:rsid w:val="00C7150F"/>
    <w:rsid w:val="00C74859"/>
    <w:rsid w:val="00C75F73"/>
    <w:rsid w:val="00C777CC"/>
    <w:rsid w:val="00C8099A"/>
    <w:rsid w:val="00C80FAD"/>
    <w:rsid w:val="00C83042"/>
    <w:rsid w:val="00C83787"/>
    <w:rsid w:val="00C866A6"/>
    <w:rsid w:val="00C90FBE"/>
    <w:rsid w:val="00C92B1B"/>
    <w:rsid w:val="00CA1A2E"/>
    <w:rsid w:val="00CA1BE2"/>
    <w:rsid w:val="00CA2C19"/>
    <w:rsid w:val="00CA32A1"/>
    <w:rsid w:val="00CB4445"/>
    <w:rsid w:val="00CB5731"/>
    <w:rsid w:val="00CB5860"/>
    <w:rsid w:val="00CB607A"/>
    <w:rsid w:val="00CB6B22"/>
    <w:rsid w:val="00CB6EA8"/>
    <w:rsid w:val="00CB72CE"/>
    <w:rsid w:val="00CB7D4C"/>
    <w:rsid w:val="00CC4457"/>
    <w:rsid w:val="00CC55F4"/>
    <w:rsid w:val="00CC66EE"/>
    <w:rsid w:val="00CC79A3"/>
    <w:rsid w:val="00CD129B"/>
    <w:rsid w:val="00CD1458"/>
    <w:rsid w:val="00CD368E"/>
    <w:rsid w:val="00CD3C50"/>
    <w:rsid w:val="00CD4527"/>
    <w:rsid w:val="00CD4F74"/>
    <w:rsid w:val="00CD5553"/>
    <w:rsid w:val="00CD7D13"/>
    <w:rsid w:val="00CE44FA"/>
    <w:rsid w:val="00CE4669"/>
    <w:rsid w:val="00CE573F"/>
    <w:rsid w:val="00CF1BE4"/>
    <w:rsid w:val="00CF2CF6"/>
    <w:rsid w:val="00CF33CA"/>
    <w:rsid w:val="00CF33E1"/>
    <w:rsid w:val="00CF44F5"/>
    <w:rsid w:val="00CF6C5C"/>
    <w:rsid w:val="00CF78D1"/>
    <w:rsid w:val="00D00F00"/>
    <w:rsid w:val="00D01E09"/>
    <w:rsid w:val="00D0257F"/>
    <w:rsid w:val="00D02D5A"/>
    <w:rsid w:val="00D02F77"/>
    <w:rsid w:val="00D02FEA"/>
    <w:rsid w:val="00D03309"/>
    <w:rsid w:val="00D038FE"/>
    <w:rsid w:val="00D03AD7"/>
    <w:rsid w:val="00D0593A"/>
    <w:rsid w:val="00D0657D"/>
    <w:rsid w:val="00D104AE"/>
    <w:rsid w:val="00D11B1F"/>
    <w:rsid w:val="00D11F79"/>
    <w:rsid w:val="00D13688"/>
    <w:rsid w:val="00D1421B"/>
    <w:rsid w:val="00D14F02"/>
    <w:rsid w:val="00D15577"/>
    <w:rsid w:val="00D15C32"/>
    <w:rsid w:val="00D16251"/>
    <w:rsid w:val="00D16EAC"/>
    <w:rsid w:val="00D20FEE"/>
    <w:rsid w:val="00D210DE"/>
    <w:rsid w:val="00D21E9D"/>
    <w:rsid w:val="00D23115"/>
    <w:rsid w:val="00D23367"/>
    <w:rsid w:val="00D23C33"/>
    <w:rsid w:val="00D253CA"/>
    <w:rsid w:val="00D25A65"/>
    <w:rsid w:val="00D26E01"/>
    <w:rsid w:val="00D3510F"/>
    <w:rsid w:val="00D359E0"/>
    <w:rsid w:val="00D37A1E"/>
    <w:rsid w:val="00D41427"/>
    <w:rsid w:val="00D43AA4"/>
    <w:rsid w:val="00D43EDC"/>
    <w:rsid w:val="00D43F43"/>
    <w:rsid w:val="00D45E6C"/>
    <w:rsid w:val="00D46778"/>
    <w:rsid w:val="00D46C1C"/>
    <w:rsid w:val="00D47619"/>
    <w:rsid w:val="00D47CAC"/>
    <w:rsid w:val="00D52453"/>
    <w:rsid w:val="00D557A7"/>
    <w:rsid w:val="00D5633E"/>
    <w:rsid w:val="00D6023E"/>
    <w:rsid w:val="00D60E05"/>
    <w:rsid w:val="00D620E3"/>
    <w:rsid w:val="00D63170"/>
    <w:rsid w:val="00D63178"/>
    <w:rsid w:val="00D71C47"/>
    <w:rsid w:val="00D72A8D"/>
    <w:rsid w:val="00D72AAC"/>
    <w:rsid w:val="00D73B12"/>
    <w:rsid w:val="00D74517"/>
    <w:rsid w:val="00D74C8B"/>
    <w:rsid w:val="00D770EE"/>
    <w:rsid w:val="00D80172"/>
    <w:rsid w:val="00D806D2"/>
    <w:rsid w:val="00D81037"/>
    <w:rsid w:val="00D85774"/>
    <w:rsid w:val="00D85F66"/>
    <w:rsid w:val="00D87F28"/>
    <w:rsid w:val="00D90EE9"/>
    <w:rsid w:val="00D91667"/>
    <w:rsid w:val="00D92264"/>
    <w:rsid w:val="00D92B04"/>
    <w:rsid w:val="00D9374B"/>
    <w:rsid w:val="00D9507A"/>
    <w:rsid w:val="00D96174"/>
    <w:rsid w:val="00D97F8F"/>
    <w:rsid w:val="00DA20BE"/>
    <w:rsid w:val="00DA31A8"/>
    <w:rsid w:val="00DA367D"/>
    <w:rsid w:val="00DA39AB"/>
    <w:rsid w:val="00DA3FAD"/>
    <w:rsid w:val="00DA44F7"/>
    <w:rsid w:val="00DA45BE"/>
    <w:rsid w:val="00DA5ED6"/>
    <w:rsid w:val="00DA6E21"/>
    <w:rsid w:val="00DB3184"/>
    <w:rsid w:val="00DB3F50"/>
    <w:rsid w:val="00DC0319"/>
    <w:rsid w:val="00DC3754"/>
    <w:rsid w:val="00DC5844"/>
    <w:rsid w:val="00DC6455"/>
    <w:rsid w:val="00DC7624"/>
    <w:rsid w:val="00DD089B"/>
    <w:rsid w:val="00DD231D"/>
    <w:rsid w:val="00DD71E9"/>
    <w:rsid w:val="00DD79D0"/>
    <w:rsid w:val="00DD7D0E"/>
    <w:rsid w:val="00DE3B46"/>
    <w:rsid w:val="00DE40B3"/>
    <w:rsid w:val="00DE4DA6"/>
    <w:rsid w:val="00DE6091"/>
    <w:rsid w:val="00DE7517"/>
    <w:rsid w:val="00DF0933"/>
    <w:rsid w:val="00DF0DB9"/>
    <w:rsid w:val="00DF19C0"/>
    <w:rsid w:val="00DF3034"/>
    <w:rsid w:val="00DF3DDE"/>
    <w:rsid w:val="00DF538C"/>
    <w:rsid w:val="00DF7E35"/>
    <w:rsid w:val="00E00131"/>
    <w:rsid w:val="00E00576"/>
    <w:rsid w:val="00E00B93"/>
    <w:rsid w:val="00E01FD8"/>
    <w:rsid w:val="00E077DF"/>
    <w:rsid w:val="00E12DEF"/>
    <w:rsid w:val="00E15B51"/>
    <w:rsid w:val="00E20046"/>
    <w:rsid w:val="00E21686"/>
    <w:rsid w:val="00E2211B"/>
    <w:rsid w:val="00E22A5B"/>
    <w:rsid w:val="00E23A42"/>
    <w:rsid w:val="00E24019"/>
    <w:rsid w:val="00E273DF"/>
    <w:rsid w:val="00E27E4D"/>
    <w:rsid w:val="00E32724"/>
    <w:rsid w:val="00E359EB"/>
    <w:rsid w:val="00E361AB"/>
    <w:rsid w:val="00E36C28"/>
    <w:rsid w:val="00E3734B"/>
    <w:rsid w:val="00E41E7C"/>
    <w:rsid w:val="00E45D20"/>
    <w:rsid w:val="00E462A1"/>
    <w:rsid w:val="00E46782"/>
    <w:rsid w:val="00E51D7C"/>
    <w:rsid w:val="00E52320"/>
    <w:rsid w:val="00E53712"/>
    <w:rsid w:val="00E55005"/>
    <w:rsid w:val="00E55A5A"/>
    <w:rsid w:val="00E56826"/>
    <w:rsid w:val="00E62281"/>
    <w:rsid w:val="00E63622"/>
    <w:rsid w:val="00E652D7"/>
    <w:rsid w:val="00E663A5"/>
    <w:rsid w:val="00E6712C"/>
    <w:rsid w:val="00E6783C"/>
    <w:rsid w:val="00E721A9"/>
    <w:rsid w:val="00E75BFB"/>
    <w:rsid w:val="00E772C1"/>
    <w:rsid w:val="00E81195"/>
    <w:rsid w:val="00E815FE"/>
    <w:rsid w:val="00E82EE0"/>
    <w:rsid w:val="00E84692"/>
    <w:rsid w:val="00E84730"/>
    <w:rsid w:val="00E84D7B"/>
    <w:rsid w:val="00E84F67"/>
    <w:rsid w:val="00E8556A"/>
    <w:rsid w:val="00E85700"/>
    <w:rsid w:val="00E85E09"/>
    <w:rsid w:val="00E9042F"/>
    <w:rsid w:val="00E9382B"/>
    <w:rsid w:val="00E944C5"/>
    <w:rsid w:val="00E94EBF"/>
    <w:rsid w:val="00E96904"/>
    <w:rsid w:val="00E97CBD"/>
    <w:rsid w:val="00EA13B2"/>
    <w:rsid w:val="00EA2FAB"/>
    <w:rsid w:val="00EA679F"/>
    <w:rsid w:val="00EA6D7B"/>
    <w:rsid w:val="00EB2DA0"/>
    <w:rsid w:val="00EB3F54"/>
    <w:rsid w:val="00EB42CE"/>
    <w:rsid w:val="00EB5466"/>
    <w:rsid w:val="00EB577F"/>
    <w:rsid w:val="00EB62BD"/>
    <w:rsid w:val="00EB6FEC"/>
    <w:rsid w:val="00EB772E"/>
    <w:rsid w:val="00EB785C"/>
    <w:rsid w:val="00EC0C88"/>
    <w:rsid w:val="00EC1B82"/>
    <w:rsid w:val="00EC4E80"/>
    <w:rsid w:val="00EC7E4D"/>
    <w:rsid w:val="00EC7EFF"/>
    <w:rsid w:val="00ED1FF0"/>
    <w:rsid w:val="00EE0A6D"/>
    <w:rsid w:val="00EE24DF"/>
    <w:rsid w:val="00EE578C"/>
    <w:rsid w:val="00EE736F"/>
    <w:rsid w:val="00EF10B0"/>
    <w:rsid w:val="00EF22FE"/>
    <w:rsid w:val="00EF331A"/>
    <w:rsid w:val="00EF477C"/>
    <w:rsid w:val="00EF4C3E"/>
    <w:rsid w:val="00EF6209"/>
    <w:rsid w:val="00EF7EF7"/>
    <w:rsid w:val="00F0068D"/>
    <w:rsid w:val="00F00A6A"/>
    <w:rsid w:val="00F02260"/>
    <w:rsid w:val="00F04150"/>
    <w:rsid w:val="00F042D5"/>
    <w:rsid w:val="00F05263"/>
    <w:rsid w:val="00F066E6"/>
    <w:rsid w:val="00F06876"/>
    <w:rsid w:val="00F07048"/>
    <w:rsid w:val="00F147FA"/>
    <w:rsid w:val="00F2030A"/>
    <w:rsid w:val="00F2048A"/>
    <w:rsid w:val="00F20600"/>
    <w:rsid w:val="00F20682"/>
    <w:rsid w:val="00F2097C"/>
    <w:rsid w:val="00F20A86"/>
    <w:rsid w:val="00F218D0"/>
    <w:rsid w:val="00F263B1"/>
    <w:rsid w:val="00F26C18"/>
    <w:rsid w:val="00F26FCD"/>
    <w:rsid w:val="00F3250D"/>
    <w:rsid w:val="00F3306D"/>
    <w:rsid w:val="00F34F5C"/>
    <w:rsid w:val="00F3527A"/>
    <w:rsid w:val="00F36C1A"/>
    <w:rsid w:val="00F37642"/>
    <w:rsid w:val="00F37A3B"/>
    <w:rsid w:val="00F37D14"/>
    <w:rsid w:val="00F4044E"/>
    <w:rsid w:val="00F404CA"/>
    <w:rsid w:val="00F416EB"/>
    <w:rsid w:val="00F44EF8"/>
    <w:rsid w:val="00F46C03"/>
    <w:rsid w:val="00F51970"/>
    <w:rsid w:val="00F53643"/>
    <w:rsid w:val="00F547C3"/>
    <w:rsid w:val="00F55204"/>
    <w:rsid w:val="00F56D58"/>
    <w:rsid w:val="00F56F7C"/>
    <w:rsid w:val="00F574D0"/>
    <w:rsid w:val="00F612A8"/>
    <w:rsid w:val="00F61BB1"/>
    <w:rsid w:val="00F623A0"/>
    <w:rsid w:val="00F62AB0"/>
    <w:rsid w:val="00F63F7F"/>
    <w:rsid w:val="00F640F3"/>
    <w:rsid w:val="00F71BAC"/>
    <w:rsid w:val="00F73C56"/>
    <w:rsid w:val="00F740A8"/>
    <w:rsid w:val="00F77E17"/>
    <w:rsid w:val="00F77E30"/>
    <w:rsid w:val="00F77F9A"/>
    <w:rsid w:val="00F8103F"/>
    <w:rsid w:val="00F814AF"/>
    <w:rsid w:val="00F8153C"/>
    <w:rsid w:val="00F825C7"/>
    <w:rsid w:val="00F82C69"/>
    <w:rsid w:val="00F91D30"/>
    <w:rsid w:val="00F92942"/>
    <w:rsid w:val="00F93C93"/>
    <w:rsid w:val="00F9496C"/>
    <w:rsid w:val="00F95EA5"/>
    <w:rsid w:val="00F96111"/>
    <w:rsid w:val="00F9665A"/>
    <w:rsid w:val="00FA2442"/>
    <w:rsid w:val="00FA7BE7"/>
    <w:rsid w:val="00FB0081"/>
    <w:rsid w:val="00FB1CFD"/>
    <w:rsid w:val="00FB5F96"/>
    <w:rsid w:val="00FB6724"/>
    <w:rsid w:val="00FB6969"/>
    <w:rsid w:val="00FC030A"/>
    <w:rsid w:val="00FC0842"/>
    <w:rsid w:val="00FC29B5"/>
    <w:rsid w:val="00FD0526"/>
    <w:rsid w:val="00FD0A65"/>
    <w:rsid w:val="00FD1C7C"/>
    <w:rsid w:val="00FD1EDD"/>
    <w:rsid w:val="00FD6DA2"/>
    <w:rsid w:val="00FD7CD9"/>
    <w:rsid w:val="00FE0CB2"/>
    <w:rsid w:val="00FE51F8"/>
    <w:rsid w:val="00FE7B21"/>
    <w:rsid w:val="00FF2EB0"/>
    <w:rsid w:val="00FF413B"/>
    <w:rsid w:val="00FF540B"/>
    <w:rsid w:val="029F7BBA"/>
    <w:rsid w:val="03EF3EBE"/>
    <w:rsid w:val="06ED7B55"/>
    <w:rsid w:val="08BB41C4"/>
    <w:rsid w:val="09A71DD4"/>
    <w:rsid w:val="09DB5A42"/>
    <w:rsid w:val="0B683C73"/>
    <w:rsid w:val="0B801934"/>
    <w:rsid w:val="0BA83DBF"/>
    <w:rsid w:val="0C0000E3"/>
    <w:rsid w:val="0C002F86"/>
    <w:rsid w:val="0C1D28C8"/>
    <w:rsid w:val="0F281C8E"/>
    <w:rsid w:val="0F9A5C11"/>
    <w:rsid w:val="106E6475"/>
    <w:rsid w:val="11571580"/>
    <w:rsid w:val="12533C20"/>
    <w:rsid w:val="137228B7"/>
    <w:rsid w:val="13DF2F4B"/>
    <w:rsid w:val="147A7CA1"/>
    <w:rsid w:val="162D1484"/>
    <w:rsid w:val="17203968"/>
    <w:rsid w:val="176E6749"/>
    <w:rsid w:val="190943FD"/>
    <w:rsid w:val="194C41A2"/>
    <w:rsid w:val="19C911CE"/>
    <w:rsid w:val="19CC64C5"/>
    <w:rsid w:val="19E6543B"/>
    <w:rsid w:val="1A8846F7"/>
    <w:rsid w:val="1BA2279D"/>
    <w:rsid w:val="1BDD7480"/>
    <w:rsid w:val="1D0E671F"/>
    <w:rsid w:val="1D590126"/>
    <w:rsid w:val="1DC57DAF"/>
    <w:rsid w:val="1E4E4D40"/>
    <w:rsid w:val="1F0B3FB7"/>
    <w:rsid w:val="20BF0E4A"/>
    <w:rsid w:val="219813EA"/>
    <w:rsid w:val="25186637"/>
    <w:rsid w:val="253533C5"/>
    <w:rsid w:val="256E139B"/>
    <w:rsid w:val="25986D72"/>
    <w:rsid w:val="25C07769"/>
    <w:rsid w:val="25C6791F"/>
    <w:rsid w:val="295D392A"/>
    <w:rsid w:val="2A5D3C60"/>
    <w:rsid w:val="2A7206A3"/>
    <w:rsid w:val="2ACC0667"/>
    <w:rsid w:val="2AEE502C"/>
    <w:rsid w:val="2B42677D"/>
    <w:rsid w:val="2B873022"/>
    <w:rsid w:val="2CF6456B"/>
    <w:rsid w:val="2D7E40B3"/>
    <w:rsid w:val="2E691D45"/>
    <w:rsid w:val="2FFC4700"/>
    <w:rsid w:val="312471AE"/>
    <w:rsid w:val="3217196E"/>
    <w:rsid w:val="32920CB3"/>
    <w:rsid w:val="32A84462"/>
    <w:rsid w:val="345B07A7"/>
    <w:rsid w:val="34660969"/>
    <w:rsid w:val="347E3E2F"/>
    <w:rsid w:val="34B61A22"/>
    <w:rsid w:val="34CE3358"/>
    <w:rsid w:val="3581018C"/>
    <w:rsid w:val="36585409"/>
    <w:rsid w:val="36F60A58"/>
    <w:rsid w:val="37601390"/>
    <w:rsid w:val="392C4A6D"/>
    <w:rsid w:val="39A44463"/>
    <w:rsid w:val="3AE15444"/>
    <w:rsid w:val="3DB637BE"/>
    <w:rsid w:val="3F263985"/>
    <w:rsid w:val="4048469C"/>
    <w:rsid w:val="41D86A6A"/>
    <w:rsid w:val="459E2F7E"/>
    <w:rsid w:val="46C24E55"/>
    <w:rsid w:val="471A4266"/>
    <w:rsid w:val="482B4650"/>
    <w:rsid w:val="4B600FCC"/>
    <w:rsid w:val="4C71622C"/>
    <w:rsid w:val="4D735295"/>
    <w:rsid w:val="4D983E25"/>
    <w:rsid w:val="4E5237F7"/>
    <w:rsid w:val="4EAF01A5"/>
    <w:rsid w:val="50311597"/>
    <w:rsid w:val="504944AB"/>
    <w:rsid w:val="5123678D"/>
    <w:rsid w:val="530357AF"/>
    <w:rsid w:val="549254B8"/>
    <w:rsid w:val="56E1439E"/>
    <w:rsid w:val="581E0F10"/>
    <w:rsid w:val="585356D7"/>
    <w:rsid w:val="585356F2"/>
    <w:rsid w:val="59DF1227"/>
    <w:rsid w:val="5AF85669"/>
    <w:rsid w:val="5C93729E"/>
    <w:rsid w:val="5CF96949"/>
    <w:rsid w:val="5DAE40E6"/>
    <w:rsid w:val="5DB51860"/>
    <w:rsid w:val="5E3C5805"/>
    <w:rsid w:val="625F02AF"/>
    <w:rsid w:val="62B20BD0"/>
    <w:rsid w:val="62F26BD0"/>
    <w:rsid w:val="62FD772E"/>
    <w:rsid w:val="63371A62"/>
    <w:rsid w:val="63C302AB"/>
    <w:rsid w:val="6505341F"/>
    <w:rsid w:val="6566705C"/>
    <w:rsid w:val="65C74A5F"/>
    <w:rsid w:val="6BBC1E9A"/>
    <w:rsid w:val="6D925B1D"/>
    <w:rsid w:val="6DFD3B4E"/>
    <w:rsid w:val="6E0C50BA"/>
    <w:rsid w:val="6F425301"/>
    <w:rsid w:val="70712977"/>
    <w:rsid w:val="70EA1818"/>
    <w:rsid w:val="72EB1277"/>
    <w:rsid w:val="73C4583A"/>
    <w:rsid w:val="75A335AF"/>
    <w:rsid w:val="764C5F9F"/>
    <w:rsid w:val="769A17C7"/>
    <w:rsid w:val="793965D3"/>
    <w:rsid w:val="7A07406A"/>
    <w:rsid w:val="7A3B0BCF"/>
    <w:rsid w:val="7A45554D"/>
    <w:rsid w:val="7ACB0FD3"/>
    <w:rsid w:val="7C16483B"/>
    <w:rsid w:val="7DD07EAD"/>
    <w:rsid w:val="7F0864C5"/>
    <w:rsid w:val="7FD1204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0" w:semiHidden="0" w:name="Normal Indent"/>
    <w:lsdException w:qFormat="1" w:unhideWhenUsed="0"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99" w:semiHidden="0" w:name="Emphasis"/>
    <w:lsdException w:qFormat="1" w:unhideWhenUsed="0"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sz w:val="24"/>
      <w:szCs w:val="24"/>
      <w:lang w:val="en-US" w:eastAsia="zh-CN" w:bidi="ar-SA"/>
    </w:rPr>
  </w:style>
  <w:style w:type="paragraph" w:styleId="3">
    <w:name w:val="heading 1"/>
    <w:basedOn w:val="1"/>
    <w:next w:val="1"/>
    <w:link w:val="44"/>
    <w:qFormat/>
    <w:uiPriority w:val="99"/>
    <w:pPr>
      <w:keepNext/>
      <w:keepLines/>
      <w:widowControl w:val="0"/>
      <w:spacing w:before="340" w:after="330" w:line="576" w:lineRule="auto"/>
      <w:jc w:val="both"/>
      <w:outlineLvl w:val="0"/>
    </w:pPr>
    <w:rPr>
      <w:rFonts w:ascii="仿宋_GB2312" w:eastAsia="仿宋_GB2312" w:cs="Times New Roman"/>
      <w:b/>
      <w:color w:val="000000"/>
      <w:kern w:val="44"/>
      <w:sz w:val="44"/>
      <w:szCs w:val="20"/>
    </w:rPr>
  </w:style>
  <w:style w:type="paragraph" w:styleId="4">
    <w:name w:val="heading 2"/>
    <w:basedOn w:val="1"/>
    <w:next w:val="1"/>
    <w:link w:val="45"/>
    <w:qFormat/>
    <w:uiPriority w:val="99"/>
    <w:pPr>
      <w:keepNext/>
      <w:keepLines/>
      <w:widowControl w:val="0"/>
      <w:spacing w:before="260" w:after="260"/>
      <w:jc w:val="center"/>
      <w:outlineLvl w:val="1"/>
    </w:pPr>
    <w:rPr>
      <w:rFonts w:eastAsia="华文中宋" w:cs="Times New Roman"/>
      <w:b/>
      <w:bCs/>
      <w:sz w:val="30"/>
      <w:szCs w:val="44"/>
    </w:rPr>
  </w:style>
  <w:style w:type="paragraph" w:styleId="5">
    <w:name w:val="heading 3"/>
    <w:basedOn w:val="1"/>
    <w:next w:val="1"/>
    <w:link w:val="46"/>
    <w:qFormat/>
    <w:uiPriority w:val="99"/>
    <w:pPr>
      <w:keepNext/>
      <w:keepLines/>
      <w:widowControl w:val="0"/>
      <w:spacing w:before="260" w:after="260"/>
      <w:ind w:firstLine="200" w:firstLineChars="200"/>
      <w:jc w:val="center"/>
      <w:outlineLvl w:val="2"/>
    </w:pPr>
    <w:rPr>
      <w:rFonts w:ascii="Calibri" w:hAnsi="Calibri" w:eastAsia="黑体" w:cs="Times New Roman"/>
      <w:bCs/>
      <w:kern w:val="2"/>
      <w:sz w:val="30"/>
      <w:szCs w:val="32"/>
    </w:rPr>
  </w:style>
  <w:style w:type="paragraph" w:styleId="6">
    <w:name w:val="heading 4"/>
    <w:basedOn w:val="5"/>
    <w:next w:val="1"/>
    <w:link w:val="47"/>
    <w:qFormat/>
    <w:uiPriority w:val="99"/>
    <w:pPr>
      <w:spacing w:before="280" w:after="290"/>
      <w:jc w:val="left"/>
      <w:outlineLvl w:val="3"/>
    </w:pPr>
    <w:rPr>
      <w:rFonts w:ascii="Cambria" w:hAnsi="Cambria" w:eastAsia="仿宋_GB2312"/>
      <w:b/>
      <w:szCs w:val="28"/>
    </w:rPr>
  </w:style>
  <w:style w:type="paragraph" w:styleId="7">
    <w:name w:val="heading 5"/>
    <w:basedOn w:val="1"/>
    <w:next w:val="1"/>
    <w:link w:val="48"/>
    <w:qFormat/>
    <w:uiPriority w:val="99"/>
    <w:pPr>
      <w:keepNext/>
      <w:keepLines/>
      <w:widowControl w:val="0"/>
      <w:spacing w:before="280" w:after="290" w:line="376" w:lineRule="auto"/>
      <w:jc w:val="both"/>
      <w:outlineLvl w:val="4"/>
    </w:pPr>
    <w:rPr>
      <w:rFonts w:ascii="Calibri" w:hAnsi="Calibri" w:cs="Times New Roman"/>
      <w:b/>
      <w:bCs/>
      <w:kern w:val="2"/>
      <w:sz w:val="28"/>
      <w:szCs w:val="28"/>
    </w:rPr>
  </w:style>
  <w:style w:type="paragraph" w:styleId="8">
    <w:name w:val="heading 6"/>
    <w:basedOn w:val="1"/>
    <w:next w:val="1"/>
    <w:link w:val="49"/>
    <w:qFormat/>
    <w:uiPriority w:val="99"/>
    <w:pPr>
      <w:keepNext/>
      <w:keepLines/>
      <w:widowControl w:val="0"/>
      <w:spacing w:before="240" w:after="64" w:line="319" w:lineRule="auto"/>
      <w:ind w:left="1276"/>
      <w:jc w:val="both"/>
      <w:outlineLvl w:val="5"/>
    </w:pPr>
    <w:rPr>
      <w:rFonts w:ascii="Arial" w:hAnsi="Arial" w:eastAsia="仿宋_GB2312" w:cs="Times New Roman"/>
      <w:b/>
      <w:bCs/>
      <w:color w:val="000000"/>
      <w:kern w:val="16"/>
      <w:sz w:val="30"/>
      <w:szCs w:val="30"/>
    </w:rPr>
  </w:style>
  <w:style w:type="paragraph" w:styleId="9">
    <w:name w:val="heading 7"/>
    <w:basedOn w:val="1"/>
    <w:next w:val="1"/>
    <w:link w:val="50"/>
    <w:qFormat/>
    <w:uiPriority w:val="99"/>
    <w:pPr>
      <w:keepNext/>
      <w:keepLines/>
      <w:widowControl w:val="0"/>
      <w:spacing w:before="240" w:after="64" w:line="319" w:lineRule="auto"/>
      <w:ind w:left="1276"/>
      <w:jc w:val="both"/>
      <w:outlineLvl w:val="6"/>
    </w:pPr>
    <w:rPr>
      <w:rFonts w:ascii="仿宋_GB2312" w:eastAsia="仿宋_GB2312" w:cs="Times New Roman"/>
      <w:b/>
      <w:bCs/>
      <w:color w:val="000000"/>
      <w:kern w:val="16"/>
      <w:sz w:val="30"/>
      <w:szCs w:val="30"/>
    </w:rPr>
  </w:style>
  <w:style w:type="paragraph" w:styleId="10">
    <w:name w:val="heading 8"/>
    <w:basedOn w:val="1"/>
    <w:next w:val="1"/>
    <w:link w:val="51"/>
    <w:qFormat/>
    <w:uiPriority w:val="99"/>
    <w:pPr>
      <w:keepNext/>
      <w:keepLines/>
      <w:widowControl w:val="0"/>
      <w:spacing w:before="240" w:after="64" w:line="320" w:lineRule="auto"/>
      <w:jc w:val="both"/>
      <w:outlineLvl w:val="7"/>
    </w:pPr>
    <w:rPr>
      <w:rFonts w:ascii="Cambria" w:hAnsi="Cambria" w:cs="Times New Roman"/>
      <w:kern w:val="2"/>
    </w:rPr>
  </w:style>
  <w:style w:type="paragraph" w:styleId="11">
    <w:name w:val="heading 9"/>
    <w:basedOn w:val="1"/>
    <w:next w:val="1"/>
    <w:link w:val="52"/>
    <w:qFormat/>
    <w:uiPriority w:val="99"/>
    <w:pPr>
      <w:overflowPunct w:val="0"/>
      <w:autoSpaceDE w:val="0"/>
      <w:autoSpaceDN w:val="0"/>
      <w:adjustRightInd w:val="0"/>
      <w:spacing w:before="240" w:after="60" w:line="360" w:lineRule="auto"/>
      <w:ind w:left="1276"/>
      <w:jc w:val="both"/>
      <w:textAlignment w:val="baseline"/>
      <w:outlineLvl w:val="8"/>
    </w:pPr>
    <w:rPr>
      <w:rFonts w:ascii="Arial" w:hAnsi="Arial" w:eastAsia="仿宋_GB2312" w:cs="Times New Roman"/>
      <w:i/>
      <w:iCs/>
      <w:color w:val="000000"/>
      <w:sz w:val="18"/>
      <w:szCs w:val="18"/>
    </w:rPr>
  </w:style>
  <w:style w:type="character" w:default="1" w:styleId="37">
    <w:name w:val="Default Paragraph Font"/>
    <w:unhideWhenUsed/>
    <w:qFormat/>
    <w:uiPriority w:val="1"/>
  </w:style>
  <w:style w:type="table" w:default="1" w:styleId="35">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12">
    <w:name w:val="toc 7"/>
    <w:basedOn w:val="1"/>
    <w:next w:val="1"/>
    <w:qFormat/>
    <w:uiPriority w:val="99"/>
    <w:pPr>
      <w:ind w:left="1440"/>
    </w:pPr>
    <w:rPr>
      <w:rFonts w:asciiTheme="minorHAnsi" w:hAnsiTheme="minorHAnsi" w:cstheme="minorHAnsi"/>
      <w:sz w:val="18"/>
      <w:szCs w:val="18"/>
    </w:rPr>
  </w:style>
  <w:style w:type="paragraph" w:styleId="13">
    <w:name w:val="Document Map"/>
    <w:basedOn w:val="1"/>
    <w:link w:val="108"/>
    <w:semiHidden/>
    <w:qFormat/>
    <w:uiPriority w:val="99"/>
    <w:pPr>
      <w:widowControl w:val="0"/>
      <w:jc w:val="both"/>
    </w:pPr>
    <w:rPr>
      <w:rFonts w:hAnsi="Calibri" w:cs="Times New Roman"/>
      <w:kern w:val="2"/>
      <w:sz w:val="18"/>
      <w:szCs w:val="20"/>
    </w:rPr>
  </w:style>
  <w:style w:type="paragraph" w:styleId="14">
    <w:name w:val="annotation text"/>
    <w:basedOn w:val="1"/>
    <w:link w:val="128"/>
    <w:semiHidden/>
    <w:qFormat/>
    <w:uiPriority w:val="99"/>
    <w:pPr>
      <w:widowControl w:val="0"/>
    </w:pPr>
    <w:rPr>
      <w:rFonts w:ascii="仿宋_GB2312" w:eastAsia="仿宋_GB2312" w:cs="Times New Roman"/>
      <w:color w:val="000000"/>
      <w:kern w:val="16"/>
      <w:sz w:val="30"/>
      <w:szCs w:val="30"/>
    </w:rPr>
  </w:style>
  <w:style w:type="paragraph" w:styleId="15">
    <w:name w:val="Body Text"/>
    <w:basedOn w:val="1"/>
    <w:qFormat/>
    <w:uiPriority w:val="1"/>
    <w:pPr>
      <w:spacing w:before="61"/>
      <w:ind w:left="117"/>
    </w:pPr>
    <w:rPr>
      <w:sz w:val="30"/>
      <w:szCs w:val="30"/>
    </w:rPr>
  </w:style>
  <w:style w:type="paragraph" w:styleId="16">
    <w:name w:val="Body Text Indent"/>
    <w:basedOn w:val="1"/>
    <w:link w:val="127"/>
    <w:qFormat/>
    <w:uiPriority w:val="99"/>
    <w:pPr>
      <w:widowControl w:val="0"/>
      <w:ind w:firstLine="600" w:firstLineChars="200"/>
      <w:jc w:val="both"/>
    </w:pPr>
    <w:rPr>
      <w:rFonts w:ascii="仿宋_GB2312" w:hAnsi="Calibri" w:eastAsia="仿宋_GB2312" w:cs="Times New Roman"/>
      <w:sz w:val="30"/>
      <w:szCs w:val="20"/>
    </w:rPr>
  </w:style>
  <w:style w:type="paragraph" w:styleId="17">
    <w:name w:val="toc 5"/>
    <w:basedOn w:val="1"/>
    <w:next w:val="1"/>
    <w:qFormat/>
    <w:uiPriority w:val="99"/>
    <w:pPr>
      <w:ind w:left="960"/>
    </w:pPr>
    <w:rPr>
      <w:rFonts w:asciiTheme="minorHAnsi" w:hAnsiTheme="minorHAnsi" w:cstheme="minorHAnsi"/>
      <w:sz w:val="18"/>
      <w:szCs w:val="18"/>
    </w:rPr>
  </w:style>
  <w:style w:type="paragraph" w:styleId="18">
    <w:name w:val="toc 3"/>
    <w:basedOn w:val="1"/>
    <w:next w:val="1"/>
    <w:link w:val="113"/>
    <w:qFormat/>
    <w:uiPriority w:val="39"/>
    <w:pPr>
      <w:ind w:left="480"/>
    </w:pPr>
    <w:rPr>
      <w:rFonts w:asciiTheme="minorHAnsi" w:hAnsiTheme="minorHAnsi" w:cstheme="minorHAnsi"/>
      <w:i/>
      <w:iCs/>
      <w:sz w:val="20"/>
      <w:szCs w:val="20"/>
    </w:rPr>
  </w:style>
  <w:style w:type="paragraph" w:styleId="19">
    <w:name w:val="toc 8"/>
    <w:basedOn w:val="1"/>
    <w:next w:val="1"/>
    <w:qFormat/>
    <w:uiPriority w:val="99"/>
    <w:pPr>
      <w:ind w:left="1680"/>
    </w:pPr>
    <w:rPr>
      <w:rFonts w:asciiTheme="minorHAnsi" w:hAnsiTheme="minorHAnsi" w:cstheme="minorHAnsi"/>
      <w:sz w:val="18"/>
      <w:szCs w:val="18"/>
    </w:rPr>
  </w:style>
  <w:style w:type="paragraph" w:styleId="20">
    <w:name w:val="Body Text Indent 2"/>
    <w:basedOn w:val="1"/>
    <w:qFormat/>
    <w:uiPriority w:val="0"/>
    <w:pPr>
      <w:spacing w:after="120" w:line="480" w:lineRule="auto"/>
      <w:ind w:left="420" w:leftChars="200"/>
    </w:pPr>
  </w:style>
  <w:style w:type="paragraph" w:styleId="21">
    <w:name w:val="Balloon Text"/>
    <w:basedOn w:val="1"/>
    <w:link w:val="104"/>
    <w:semiHidden/>
    <w:qFormat/>
    <w:uiPriority w:val="99"/>
    <w:pPr>
      <w:widowControl w:val="0"/>
      <w:jc w:val="both"/>
    </w:pPr>
    <w:rPr>
      <w:rFonts w:ascii="Calibri" w:hAnsi="Calibri" w:cs="Times New Roman"/>
      <w:kern w:val="2"/>
      <w:sz w:val="18"/>
      <w:szCs w:val="20"/>
    </w:rPr>
  </w:style>
  <w:style w:type="paragraph" w:styleId="22">
    <w:name w:val="footer"/>
    <w:basedOn w:val="1"/>
    <w:link w:val="77"/>
    <w:qFormat/>
    <w:uiPriority w:val="99"/>
    <w:pPr>
      <w:tabs>
        <w:tab w:val="center" w:pos="4153"/>
        <w:tab w:val="right" w:pos="8306"/>
      </w:tabs>
      <w:snapToGrid w:val="0"/>
    </w:pPr>
    <w:rPr>
      <w:rFonts w:cs="Times New Roman"/>
      <w:sz w:val="18"/>
      <w:szCs w:val="18"/>
    </w:rPr>
  </w:style>
  <w:style w:type="paragraph" w:styleId="23">
    <w:name w:val="header"/>
    <w:basedOn w:val="1"/>
    <w:link w:val="76"/>
    <w:qFormat/>
    <w:uiPriority w:val="99"/>
    <w:pPr>
      <w:pBdr>
        <w:bottom w:val="single" w:color="auto" w:sz="6" w:space="1"/>
      </w:pBdr>
      <w:tabs>
        <w:tab w:val="center" w:pos="4153"/>
        <w:tab w:val="right" w:pos="8306"/>
      </w:tabs>
      <w:snapToGrid w:val="0"/>
      <w:jc w:val="center"/>
    </w:pPr>
    <w:rPr>
      <w:rFonts w:cs="Times New Roman"/>
      <w:sz w:val="18"/>
      <w:szCs w:val="18"/>
    </w:rPr>
  </w:style>
  <w:style w:type="paragraph" w:styleId="24">
    <w:name w:val="toc 1"/>
    <w:basedOn w:val="18"/>
    <w:next w:val="1"/>
    <w:link w:val="114"/>
    <w:qFormat/>
    <w:uiPriority w:val="39"/>
    <w:pPr>
      <w:spacing w:before="120" w:after="120"/>
      <w:ind w:left="0"/>
    </w:pPr>
    <w:rPr>
      <w:b/>
      <w:bCs/>
      <w:i w:val="0"/>
      <w:iCs w:val="0"/>
      <w:caps/>
    </w:rPr>
  </w:style>
  <w:style w:type="paragraph" w:styleId="25">
    <w:name w:val="toc 4"/>
    <w:basedOn w:val="1"/>
    <w:next w:val="1"/>
    <w:qFormat/>
    <w:uiPriority w:val="39"/>
    <w:pPr>
      <w:ind w:left="720"/>
    </w:pPr>
    <w:rPr>
      <w:rFonts w:asciiTheme="minorHAnsi" w:hAnsiTheme="minorHAnsi" w:cstheme="minorHAnsi"/>
      <w:sz w:val="18"/>
      <w:szCs w:val="18"/>
    </w:rPr>
  </w:style>
  <w:style w:type="paragraph" w:styleId="26">
    <w:name w:val="Subtitle"/>
    <w:basedOn w:val="1"/>
    <w:next w:val="1"/>
    <w:link w:val="110"/>
    <w:qFormat/>
    <w:uiPriority w:val="99"/>
    <w:pPr>
      <w:widowControl w:val="0"/>
      <w:spacing w:before="240" w:after="60" w:line="312" w:lineRule="auto"/>
      <w:jc w:val="center"/>
      <w:outlineLvl w:val="1"/>
    </w:pPr>
    <w:rPr>
      <w:rFonts w:ascii="Cambria" w:hAnsi="Cambria" w:cs="Times New Roman"/>
      <w:b/>
      <w:bCs/>
      <w:kern w:val="28"/>
      <w:sz w:val="30"/>
      <w:szCs w:val="32"/>
    </w:rPr>
  </w:style>
  <w:style w:type="paragraph" w:styleId="27">
    <w:name w:val="footnote text"/>
    <w:basedOn w:val="1"/>
    <w:link w:val="106"/>
    <w:semiHidden/>
    <w:qFormat/>
    <w:uiPriority w:val="99"/>
    <w:pPr>
      <w:widowControl w:val="0"/>
      <w:snapToGrid w:val="0"/>
    </w:pPr>
    <w:rPr>
      <w:rFonts w:ascii="Calibri" w:hAnsi="Calibri" w:cs="Times New Roman"/>
      <w:kern w:val="2"/>
      <w:sz w:val="18"/>
      <w:szCs w:val="20"/>
    </w:rPr>
  </w:style>
  <w:style w:type="paragraph" w:styleId="28">
    <w:name w:val="toc 6"/>
    <w:basedOn w:val="1"/>
    <w:next w:val="1"/>
    <w:qFormat/>
    <w:uiPriority w:val="99"/>
    <w:pPr>
      <w:ind w:left="1200"/>
    </w:pPr>
    <w:rPr>
      <w:rFonts w:asciiTheme="minorHAnsi" w:hAnsiTheme="minorHAnsi" w:cstheme="minorHAnsi"/>
      <w:sz w:val="18"/>
      <w:szCs w:val="18"/>
    </w:rPr>
  </w:style>
  <w:style w:type="paragraph" w:styleId="29">
    <w:name w:val="toc 2"/>
    <w:basedOn w:val="24"/>
    <w:next w:val="1"/>
    <w:link w:val="115"/>
    <w:qFormat/>
    <w:uiPriority w:val="39"/>
    <w:pPr>
      <w:spacing w:before="0" w:after="0"/>
      <w:ind w:left="240"/>
    </w:pPr>
    <w:rPr>
      <w:b w:val="0"/>
      <w:bCs w:val="0"/>
      <w:caps w:val="0"/>
      <w:smallCaps/>
    </w:rPr>
  </w:style>
  <w:style w:type="paragraph" w:styleId="30">
    <w:name w:val="toc 9"/>
    <w:basedOn w:val="1"/>
    <w:next w:val="1"/>
    <w:qFormat/>
    <w:uiPriority w:val="99"/>
    <w:pPr>
      <w:ind w:left="1920"/>
    </w:pPr>
    <w:rPr>
      <w:rFonts w:asciiTheme="minorHAnsi" w:hAnsiTheme="minorHAnsi" w:cstheme="minorHAnsi"/>
      <w:sz w:val="18"/>
      <w:szCs w:val="18"/>
    </w:rPr>
  </w:style>
  <w:style w:type="paragraph" w:styleId="31">
    <w:name w:val="HTML Preformatted"/>
    <w:basedOn w:val="1"/>
    <w:link w:val="141"/>
    <w:semiHidden/>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rPr>
  </w:style>
  <w:style w:type="paragraph" w:styleId="32">
    <w:name w:val="Normal (Web)"/>
    <w:basedOn w:val="1"/>
    <w:qFormat/>
    <w:uiPriority w:val="99"/>
    <w:pPr>
      <w:spacing w:before="100" w:beforeAutospacing="1" w:after="100" w:afterAutospacing="1"/>
    </w:pPr>
  </w:style>
  <w:style w:type="paragraph" w:styleId="33">
    <w:name w:val="Title"/>
    <w:basedOn w:val="1"/>
    <w:next w:val="1"/>
    <w:link w:val="109"/>
    <w:qFormat/>
    <w:uiPriority w:val="99"/>
    <w:pPr>
      <w:widowControl w:val="0"/>
      <w:spacing w:before="240" w:after="60"/>
      <w:jc w:val="center"/>
      <w:outlineLvl w:val="0"/>
    </w:pPr>
    <w:rPr>
      <w:rFonts w:ascii="Cambria" w:hAnsi="Cambria" w:cs="Times New Roman"/>
      <w:b/>
      <w:bCs/>
      <w:kern w:val="2"/>
      <w:sz w:val="32"/>
      <w:szCs w:val="32"/>
    </w:rPr>
  </w:style>
  <w:style w:type="paragraph" w:styleId="34">
    <w:name w:val="annotation subject"/>
    <w:basedOn w:val="14"/>
    <w:next w:val="14"/>
    <w:link w:val="129"/>
    <w:semiHidden/>
    <w:qFormat/>
    <w:uiPriority w:val="99"/>
    <w:rPr>
      <w:b/>
      <w:bCs/>
    </w:rPr>
  </w:style>
  <w:style w:type="table" w:styleId="36">
    <w:name w:val="Table Grid"/>
    <w:basedOn w:val="35"/>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basedOn w:val="37"/>
    <w:qFormat/>
    <w:locked/>
    <w:uiPriority w:val="0"/>
    <w:rPr>
      <w:b/>
      <w:bCs/>
    </w:rPr>
  </w:style>
  <w:style w:type="character" w:styleId="39">
    <w:name w:val="page number"/>
    <w:basedOn w:val="37"/>
    <w:qFormat/>
    <w:uiPriority w:val="99"/>
    <w:rPr>
      <w:rFonts w:eastAsia="宋体" w:cs="Times New Roman"/>
      <w:kern w:val="2"/>
      <w:sz w:val="24"/>
      <w:lang w:val="en-US" w:eastAsia="zh-CN"/>
    </w:rPr>
  </w:style>
  <w:style w:type="character" w:styleId="40">
    <w:name w:val="Emphasis"/>
    <w:basedOn w:val="37"/>
    <w:qFormat/>
    <w:uiPriority w:val="99"/>
    <w:rPr>
      <w:rFonts w:cs="Times New Roman"/>
      <w:i/>
    </w:rPr>
  </w:style>
  <w:style w:type="character" w:styleId="41">
    <w:name w:val="Hyperlink"/>
    <w:basedOn w:val="37"/>
    <w:qFormat/>
    <w:uiPriority w:val="99"/>
    <w:rPr>
      <w:rFonts w:cs="Times New Roman"/>
      <w:color w:val="0000FF"/>
      <w:u w:val="single"/>
    </w:rPr>
  </w:style>
  <w:style w:type="character" w:styleId="42">
    <w:name w:val="annotation reference"/>
    <w:basedOn w:val="37"/>
    <w:semiHidden/>
    <w:qFormat/>
    <w:uiPriority w:val="99"/>
    <w:rPr>
      <w:rFonts w:eastAsia="宋体" w:cs="Times New Roman"/>
      <w:kern w:val="2"/>
      <w:sz w:val="21"/>
      <w:lang w:val="en-US" w:eastAsia="zh-CN"/>
    </w:rPr>
  </w:style>
  <w:style w:type="character" w:styleId="43">
    <w:name w:val="footnote reference"/>
    <w:basedOn w:val="37"/>
    <w:semiHidden/>
    <w:qFormat/>
    <w:uiPriority w:val="99"/>
    <w:rPr>
      <w:rFonts w:eastAsia="宋体" w:cs="Times New Roman"/>
      <w:kern w:val="2"/>
      <w:sz w:val="24"/>
      <w:vertAlign w:val="superscript"/>
      <w:lang w:val="en-US" w:eastAsia="zh-CN"/>
    </w:rPr>
  </w:style>
  <w:style w:type="character" w:customStyle="1" w:styleId="44">
    <w:name w:val="标题 1 字符"/>
    <w:basedOn w:val="37"/>
    <w:link w:val="3"/>
    <w:qFormat/>
    <w:locked/>
    <w:uiPriority w:val="99"/>
    <w:rPr>
      <w:rFonts w:ascii="仿宋_GB2312" w:hAnsi="宋体" w:eastAsia="仿宋_GB2312"/>
      <w:b/>
      <w:color w:val="000000"/>
      <w:kern w:val="44"/>
      <w:sz w:val="44"/>
    </w:rPr>
  </w:style>
  <w:style w:type="character" w:customStyle="1" w:styleId="45">
    <w:name w:val="标题 2 字符"/>
    <w:basedOn w:val="37"/>
    <w:link w:val="4"/>
    <w:qFormat/>
    <w:locked/>
    <w:uiPriority w:val="99"/>
    <w:rPr>
      <w:rFonts w:ascii="宋体" w:hAnsi="宋体" w:eastAsia="华文中宋"/>
      <w:b/>
      <w:bCs/>
      <w:sz w:val="30"/>
      <w:szCs w:val="44"/>
    </w:rPr>
  </w:style>
  <w:style w:type="character" w:customStyle="1" w:styleId="46">
    <w:name w:val="标题 3 字符"/>
    <w:basedOn w:val="37"/>
    <w:link w:val="5"/>
    <w:qFormat/>
    <w:locked/>
    <w:uiPriority w:val="99"/>
    <w:rPr>
      <w:rFonts w:ascii="Calibri" w:hAnsi="Calibri" w:eastAsia="黑体"/>
      <w:kern w:val="2"/>
      <w:sz w:val="32"/>
    </w:rPr>
  </w:style>
  <w:style w:type="character" w:customStyle="1" w:styleId="47">
    <w:name w:val="标题 4 字符"/>
    <w:basedOn w:val="37"/>
    <w:link w:val="6"/>
    <w:qFormat/>
    <w:locked/>
    <w:uiPriority w:val="99"/>
    <w:rPr>
      <w:rFonts w:ascii="Cambria" w:hAnsi="Cambria" w:eastAsia="仿宋_GB2312"/>
      <w:b/>
      <w:kern w:val="2"/>
      <w:sz w:val="28"/>
    </w:rPr>
  </w:style>
  <w:style w:type="character" w:customStyle="1" w:styleId="48">
    <w:name w:val="标题 5 字符"/>
    <w:basedOn w:val="37"/>
    <w:link w:val="7"/>
    <w:qFormat/>
    <w:locked/>
    <w:uiPriority w:val="99"/>
    <w:rPr>
      <w:rFonts w:ascii="Calibri" w:hAnsi="Calibri"/>
      <w:b/>
      <w:kern w:val="2"/>
      <w:sz w:val="28"/>
    </w:rPr>
  </w:style>
  <w:style w:type="character" w:customStyle="1" w:styleId="49">
    <w:name w:val="标题 6 字符"/>
    <w:basedOn w:val="37"/>
    <w:link w:val="8"/>
    <w:qFormat/>
    <w:locked/>
    <w:uiPriority w:val="99"/>
    <w:rPr>
      <w:rFonts w:ascii="Arial" w:hAnsi="Arial" w:eastAsia="仿宋_GB2312"/>
      <w:b/>
      <w:color w:val="000000"/>
      <w:kern w:val="16"/>
      <w:sz w:val="30"/>
    </w:rPr>
  </w:style>
  <w:style w:type="character" w:customStyle="1" w:styleId="50">
    <w:name w:val="标题 7 字符"/>
    <w:basedOn w:val="37"/>
    <w:link w:val="9"/>
    <w:qFormat/>
    <w:locked/>
    <w:uiPriority w:val="99"/>
    <w:rPr>
      <w:rFonts w:ascii="仿宋_GB2312" w:hAnsi="宋体" w:eastAsia="仿宋_GB2312"/>
      <w:b/>
      <w:color w:val="000000"/>
      <w:kern w:val="16"/>
      <w:sz w:val="30"/>
    </w:rPr>
  </w:style>
  <w:style w:type="character" w:customStyle="1" w:styleId="51">
    <w:name w:val="标题 8 字符"/>
    <w:basedOn w:val="37"/>
    <w:link w:val="10"/>
    <w:qFormat/>
    <w:locked/>
    <w:uiPriority w:val="99"/>
    <w:rPr>
      <w:rFonts w:ascii="Cambria" w:hAnsi="Cambria" w:eastAsia="宋体"/>
      <w:kern w:val="2"/>
      <w:sz w:val="24"/>
    </w:rPr>
  </w:style>
  <w:style w:type="character" w:customStyle="1" w:styleId="52">
    <w:name w:val="标题 9 字符"/>
    <w:basedOn w:val="37"/>
    <w:link w:val="11"/>
    <w:qFormat/>
    <w:locked/>
    <w:uiPriority w:val="99"/>
    <w:rPr>
      <w:rFonts w:ascii="Arial" w:hAnsi="Arial" w:eastAsia="仿宋_GB2312"/>
      <w:i/>
      <w:color w:val="000000"/>
      <w:sz w:val="18"/>
    </w:rPr>
  </w:style>
  <w:style w:type="paragraph" w:customStyle="1" w:styleId="53">
    <w:name w:val="font52478"/>
    <w:basedOn w:val="1"/>
    <w:qFormat/>
    <w:uiPriority w:val="99"/>
    <w:pPr>
      <w:spacing w:before="100" w:beforeAutospacing="1" w:after="100" w:afterAutospacing="1"/>
    </w:pPr>
    <w:rPr>
      <w:sz w:val="18"/>
      <w:szCs w:val="18"/>
    </w:rPr>
  </w:style>
  <w:style w:type="paragraph" w:customStyle="1" w:styleId="54">
    <w:name w:val="xl852478"/>
    <w:basedOn w:val="1"/>
    <w:qFormat/>
    <w:uiPriority w:val="99"/>
    <w:pPr>
      <w:pBdr>
        <w:top w:val="single" w:color="auto" w:sz="4" w:space="1"/>
        <w:left w:val="single" w:color="auto" w:sz="4" w:space="1"/>
        <w:bottom w:val="single" w:color="auto" w:sz="4" w:space="0"/>
        <w:right w:val="single" w:color="auto" w:sz="4" w:space="1"/>
      </w:pBdr>
      <w:spacing w:before="100" w:beforeAutospacing="1" w:after="100" w:afterAutospacing="1"/>
      <w:jc w:val="center"/>
      <w:textAlignment w:val="center"/>
    </w:pPr>
    <w:rPr>
      <w:sz w:val="20"/>
      <w:szCs w:val="20"/>
    </w:rPr>
  </w:style>
  <w:style w:type="paragraph" w:customStyle="1" w:styleId="55">
    <w:name w:val="xl862478"/>
    <w:basedOn w:val="1"/>
    <w:qFormat/>
    <w:uiPriority w:val="99"/>
    <w:pPr>
      <w:pBdr>
        <w:top w:val="single" w:color="auto" w:sz="4" w:space="1"/>
        <w:left w:val="single" w:color="auto" w:sz="4" w:space="1"/>
        <w:bottom w:val="single" w:color="auto" w:sz="4" w:space="0"/>
        <w:right w:val="single" w:color="auto" w:sz="4" w:space="1"/>
      </w:pBdr>
      <w:spacing w:before="100" w:beforeAutospacing="1" w:after="100" w:afterAutospacing="1"/>
      <w:textAlignment w:val="center"/>
    </w:pPr>
    <w:rPr>
      <w:sz w:val="20"/>
      <w:szCs w:val="20"/>
    </w:rPr>
  </w:style>
  <w:style w:type="paragraph" w:customStyle="1" w:styleId="56">
    <w:name w:val="xl872478"/>
    <w:basedOn w:val="1"/>
    <w:qFormat/>
    <w:uiPriority w:val="99"/>
    <w:pPr>
      <w:spacing w:before="100" w:beforeAutospacing="1" w:after="100" w:afterAutospacing="1"/>
      <w:textAlignment w:val="center"/>
    </w:pPr>
    <w:rPr>
      <w:color w:val="000000"/>
      <w:sz w:val="22"/>
      <w:szCs w:val="22"/>
    </w:rPr>
  </w:style>
  <w:style w:type="paragraph" w:customStyle="1" w:styleId="57">
    <w:name w:val="xl882478"/>
    <w:basedOn w:val="1"/>
    <w:qFormat/>
    <w:uiPriority w:val="99"/>
    <w:pPr>
      <w:pBdr>
        <w:top w:val="single" w:color="auto" w:sz="4" w:space="1"/>
        <w:left w:val="single" w:color="auto" w:sz="4" w:space="1"/>
        <w:bottom w:val="single" w:color="auto" w:sz="4" w:space="0"/>
        <w:right w:val="single" w:color="auto" w:sz="4" w:space="1"/>
      </w:pBdr>
      <w:spacing w:before="100" w:beforeAutospacing="1" w:after="100" w:afterAutospacing="1"/>
      <w:textAlignment w:val="center"/>
    </w:pPr>
    <w:rPr>
      <w:color w:val="000000"/>
      <w:sz w:val="20"/>
      <w:szCs w:val="20"/>
    </w:rPr>
  </w:style>
  <w:style w:type="paragraph" w:customStyle="1" w:styleId="58">
    <w:name w:val="xl892478"/>
    <w:basedOn w:val="1"/>
    <w:qFormat/>
    <w:uiPriority w:val="99"/>
    <w:pPr>
      <w:spacing w:before="100" w:beforeAutospacing="1" w:after="100" w:afterAutospacing="1"/>
      <w:textAlignment w:val="center"/>
    </w:pPr>
    <w:rPr>
      <w:color w:val="000000"/>
      <w:sz w:val="20"/>
      <w:szCs w:val="20"/>
    </w:rPr>
  </w:style>
  <w:style w:type="paragraph" w:customStyle="1" w:styleId="59">
    <w:name w:val="xl902478"/>
    <w:basedOn w:val="1"/>
    <w:qFormat/>
    <w:uiPriority w:val="99"/>
    <w:pPr>
      <w:spacing w:before="100" w:beforeAutospacing="1" w:after="100" w:afterAutospacing="1"/>
      <w:textAlignment w:val="center"/>
    </w:pPr>
    <w:rPr>
      <w:b/>
      <w:bCs/>
      <w:color w:val="000000"/>
      <w:sz w:val="20"/>
      <w:szCs w:val="20"/>
    </w:rPr>
  </w:style>
  <w:style w:type="paragraph" w:customStyle="1" w:styleId="60">
    <w:name w:val="xl912478"/>
    <w:basedOn w:val="1"/>
    <w:qFormat/>
    <w:uiPriority w:val="99"/>
    <w:pPr>
      <w:pBdr>
        <w:bottom w:val="single" w:color="auto" w:sz="4" w:space="0"/>
      </w:pBdr>
      <w:spacing w:before="100" w:beforeAutospacing="1" w:after="100" w:afterAutospacing="1"/>
      <w:jc w:val="center"/>
      <w:textAlignment w:val="center"/>
    </w:pPr>
    <w:rPr>
      <w:b/>
      <w:bCs/>
      <w:sz w:val="32"/>
      <w:szCs w:val="32"/>
    </w:rPr>
  </w:style>
  <w:style w:type="paragraph" w:customStyle="1" w:styleId="61">
    <w:name w:val="xl922478"/>
    <w:basedOn w:val="1"/>
    <w:qFormat/>
    <w:uiPriority w:val="99"/>
    <w:pPr>
      <w:spacing w:before="100" w:beforeAutospacing="1" w:after="100" w:afterAutospacing="1"/>
      <w:textAlignment w:val="center"/>
    </w:pPr>
    <w:rPr>
      <w:rFonts w:ascii="黑体" w:hAnsi="黑体" w:eastAsia="黑体"/>
      <w:color w:val="000000"/>
      <w:sz w:val="22"/>
      <w:szCs w:val="22"/>
    </w:rPr>
  </w:style>
  <w:style w:type="paragraph" w:customStyle="1" w:styleId="62">
    <w:name w:val="xl932478"/>
    <w:basedOn w:val="1"/>
    <w:qFormat/>
    <w:uiPriority w:val="99"/>
    <w:pPr>
      <w:pBdr>
        <w:top w:val="single" w:color="auto" w:sz="4" w:space="1"/>
        <w:left w:val="single" w:color="auto" w:sz="4" w:space="1"/>
        <w:bottom w:val="single" w:color="auto" w:sz="4" w:space="0"/>
        <w:right w:val="single" w:color="auto" w:sz="4" w:space="1"/>
      </w:pBdr>
      <w:spacing w:before="100" w:beforeAutospacing="1" w:after="100" w:afterAutospacing="1"/>
      <w:jc w:val="center"/>
      <w:textAlignment w:val="center"/>
    </w:pPr>
    <w:rPr>
      <w:sz w:val="22"/>
      <w:szCs w:val="22"/>
    </w:rPr>
  </w:style>
  <w:style w:type="paragraph" w:customStyle="1" w:styleId="63">
    <w:name w:val="xl942478"/>
    <w:basedOn w:val="1"/>
    <w:qFormat/>
    <w:uiPriority w:val="99"/>
    <w:pPr>
      <w:pBdr>
        <w:top w:val="single" w:color="auto" w:sz="4" w:space="1"/>
        <w:left w:val="single" w:color="auto" w:sz="4" w:space="1"/>
        <w:bottom w:val="single" w:color="auto" w:sz="4" w:space="0"/>
        <w:right w:val="single" w:color="auto" w:sz="4" w:space="1"/>
      </w:pBdr>
      <w:spacing w:before="100" w:beforeAutospacing="1" w:after="100" w:afterAutospacing="1"/>
      <w:jc w:val="center"/>
      <w:textAlignment w:val="center"/>
    </w:pPr>
    <w:rPr>
      <w:color w:val="000000"/>
      <w:sz w:val="22"/>
      <w:szCs w:val="22"/>
    </w:rPr>
  </w:style>
  <w:style w:type="paragraph" w:customStyle="1" w:styleId="64">
    <w:name w:val="xl952478"/>
    <w:basedOn w:val="1"/>
    <w:qFormat/>
    <w:uiPriority w:val="99"/>
    <w:pPr>
      <w:pBdr>
        <w:top w:val="single" w:color="auto" w:sz="4" w:space="1"/>
        <w:left w:val="single" w:color="auto" w:sz="4" w:space="1"/>
        <w:bottom w:val="single" w:color="auto" w:sz="4" w:space="0"/>
      </w:pBdr>
      <w:spacing w:before="100" w:beforeAutospacing="1" w:after="100" w:afterAutospacing="1"/>
      <w:jc w:val="center"/>
      <w:textAlignment w:val="center"/>
    </w:pPr>
    <w:rPr>
      <w:b/>
      <w:bCs/>
      <w:sz w:val="20"/>
      <w:szCs w:val="20"/>
    </w:rPr>
  </w:style>
  <w:style w:type="paragraph" w:customStyle="1" w:styleId="65">
    <w:name w:val="xl962478"/>
    <w:basedOn w:val="1"/>
    <w:qFormat/>
    <w:uiPriority w:val="99"/>
    <w:pPr>
      <w:pBdr>
        <w:top w:val="single" w:color="auto" w:sz="4" w:space="1"/>
        <w:bottom w:val="single" w:color="auto" w:sz="4" w:space="0"/>
      </w:pBdr>
      <w:spacing w:before="100" w:beforeAutospacing="1" w:after="100" w:afterAutospacing="1"/>
      <w:jc w:val="center"/>
      <w:textAlignment w:val="center"/>
    </w:pPr>
    <w:rPr>
      <w:b/>
      <w:bCs/>
      <w:sz w:val="20"/>
      <w:szCs w:val="20"/>
    </w:rPr>
  </w:style>
  <w:style w:type="paragraph" w:customStyle="1" w:styleId="66">
    <w:name w:val="xl972478"/>
    <w:basedOn w:val="1"/>
    <w:qFormat/>
    <w:uiPriority w:val="99"/>
    <w:pPr>
      <w:pBdr>
        <w:top w:val="single" w:color="auto" w:sz="4" w:space="1"/>
        <w:bottom w:val="single" w:color="auto" w:sz="4" w:space="0"/>
        <w:right w:val="single" w:color="auto" w:sz="4" w:space="1"/>
      </w:pBdr>
      <w:spacing w:before="100" w:beforeAutospacing="1" w:after="100" w:afterAutospacing="1"/>
      <w:jc w:val="center"/>
      <w:textAlignment w:val="center"/>
    </w:pPr>
    <w:rPr>
      <w:b/>
      <w:bCs/>
      <w:sz w:val="20"/>
      <w:szCs w:val="20"/>
    </w:rPr>
  </w:style>
  <w:style w:type="paragraph" w:customStyle="1" w:styleId="67">
    <w:name w:val="xl982478"/>
    <w:basedOn w:val="1"/>
    <w:qFormat/>
    <w:uiPriority w:val="99"/>
    <w:pPr>
      <w:pBdr>
        <w:top w:val="single" w:color="auto" w:sz="4" w:space="1"/>
        <w:left w:val="single" w:color="auto" w:sz="4" w:space="1"/>
        <w:bottom w:val="single" w:color="auto" w:sz="4" w:space="0"/>
        <w:right w:val="single" w:color="auto" w:sz="4" w:space="1"/>
      </w:pBdr>
      <w:spacing w:before="100" w:beforeAutospacing="1" w:after="100" w:afterAutospacing="1"/>
      <w:textAlignment w:val="center"/>
    </w:pPr>
    <w:rPr>
      <w:sz w:val="20"/>
      <w:szCs w:val="20"/>
    </w:rPr>
  </w:style>
  <w:style w:type="paragraph" w:customStyle="1" w:styleId="68">
    <w:name w:val="xl992478"/>
    <w:basedOn w:val="1"/>
    <w:qFormat/>
    <w:uiPriority w:val="99"/>
    <w:pPr>
      <w:pBdr>
        <w:top w:val="single" w:color="auto" w:sz="4" w:space="1"/>
        <w:left w:val="single" w:color="auto" w:sz="4" w:space="1"/>
        <w:bottom w:val="single" w:color="auto" w:sz="4" w:space="0"/>
        <w:right w:val="single" w:color="auto" w:sz="4" w:space="1"/>
      </w:pBdr>
      <w:spacing w:before="100" w:beforeAutospacing="1" w:after="100" w:afterAutospacing="1"/>
      <w:textAlignment w:val="center"/>
    </w:pPr>
    <w:rPr>
      <w:sz w:val="20"/>
      <w:szCs w:val="20"/>
    </w:rPr>
  </w:style>
  <w:style w:type="paragraph" w:customStyle="1" w:styleId="69">
    <w:name w:val="xl1002478"/>
    <w:basedOn w:val="1"/>
    <w:qFormat/>
    <w:uiPriority w:val="99"/>
    <w:pPr>
      <w:pBdr>
        <w:top w:val="single" w:color="auto" w:sz="4" w:space="1"/>
        <w:left w:val="single" w:color="auto" w:sz="4" w:space="1"/>
        <w:bottom w:val="single" w:color="auto" w:sz="4" w:space="0"/>
        <w:right w:val="single" w:color="auto" w:sz="4" w:space="1"/>
      </w:pBdr>
      <w:spacing w:before="100" w:beforeAutospacing="1" w:after="100" w:afterAutospacing="1"/>
      <w:textAlignment w:val="center"/>
    </w:pPr>
    <w:rPr>
      <w:color w:val="000000"/>
      <w:sz w:val="20"/>
      <w:szCs w:val="20"/>
    </w:rPr>
  </w:style>
  <w:style w:type="paragraph" w:customStyle="1" w:styleId="70">
    <w:name w:val="xl1012478"/>
    <w:basedOn w:val="1"/>
    <w:qFormat/>
    <w:uiPriority w:val="99"/>
    <w:pPr>
      <w:pBdr>
        <w:top w:val="single" w:color="auto" w:sz="4" w:space="1"/>
        <w:left w:val="single" w:color="auto" w:sz="4" w:space="1"/>
        <w:bottom w:val="single" w:color="auto" w:sz="4" w:space="0"/>
        <w:right w:val="single" w:color="auto" w:sz="4" w:space="1"/>
      </w:pBdr>
      <w:spacing w:before="100" w:beforeAutospacing="1" w:after="100" w:afterAutospacing="1"/>
      <w:textAlignment w:val="center"/>
    </w:pPr>
    <w:rPr>
      <w:color w:val="000000"/>
      <w:sz w:val="20"/>
      <w:szCs w:val="20"/>
    </w:rPr>
  </w:style>
  <w:style w:type="paragraph" w:customStyle="1" w:styleId="71">
    <w:name w:val="xl1022478"/>
    <w:basedOn w:val="1"/>
    <w:qFormat/>
    <w:uiPriority w:val="99"/>
    <w:pPr>
      <w:pBdr>
        <w:top w:val="single" w:color="auto" w:sz="4" w:space="1"/>
        <w:left w:val="single" w:color="auto" w:sz="4" w:space="1"/>
        <w:bottom w:val="single" w:color="auto" w:sz="4" w:space="0"/>
        <w:right w:val="single" w:color="auto" w:sz="4" w:space="1"/>
      </w:pBdr>
      <w:spacing w:before="100" w:beforeAutospacing="1" w:after="100" w:afterAutospacing="1"/>
      <w:textAlignment w:val="center"/>
    </w:pPr>
    <w:rPr>
      <w:sz w:val="20"/>
      <w:szCs w:val="20"/>
    </w:rPr>
  </w:style>
  <w:style w:type="paragraph" w:customStyle="1" w:styleId="72">
    <w:name w:val="xl1032478"/>
    <w:basedOn w:val="1"/>
    <w:qFormat/>
    <w:uiPriority w:val="99"/>
    <w:pPr>
      <w:pBdr>
        <w:top w:val="single" w:color="auto" w:sz="4" w:space="1"/>
        <w:left w:val="single" w:color="auto" w:sz="4" w:space="1"/>
        <w:right w:val="single" w:color="auto" w:sz="4" w:space="1"/>
      </w:pBdr>
      <w:spacing w:before="100" w:beforeAutospacing="1" w:after="100" w:afterAutospacing="1"/>
      <w:jc w:val="center"/>
      <w:textAlignment w:val="center"/>
    </w:pPr>
    <w:rPr>
      <w:sz w:val="20"/>
      <w:szCs w:val="20"/>
    </w:rPr>
  </w:style>
  <w:style w:type="paragraph" w:customStyle="1" w:styleId="73">
    <w:name w:val="xl1042478"/>
    <w:basedOn w:val="1"/>
    <w:qFormat/>
    <w:uiPriority w:val="99"/>
    <w:pPr>
      <w:pBdr>
        <w:left w:val="single" w:color="auto" w:sz="4" w:space="1"/>
        <w:right w:val="single" w:color="auto" w:sz="4" w:space="1"/>
      </w:pBdr>
      <w:spacing w:before="100" w:beforeAutospacing="1" w:after="100" w:afterAutospacing="1"/>
      <w:jc w:val="center"/>
      <w:textAlignment w:val="center"/>
    </w:pPr>
    <w:rPr>
      <w:sz w:val="20"/>
      <w:szCs w:val="20"/>
    </w:rPr>
  </w:style>
  <w:style w:type="paragraph" w:customStyle="1" w:styleId="74">
    <w:name w:val="xl1052478"/>
    <w:basedOn w:val="1"/>
    <w:qFormat/>
    <w:uiPriority w:val="99"/>
    <w:pPr>
      <w:pBdr>
        <w:top w:val="single" w:color="auto" w:sz="4" w:space="1"/>
        <w:left w:val="single" w:color="auto" w:sz="4" w:space="1"/>
        <w:bottom w:val="single" w:color="auto" w:sz="4" w:space="0"/>
        <w:right w:val="single" w:color="auto" w:sz="4" w:space="1"/>
      </w:pBdr>
      <w:spacing w:before="100" w:beforeAutospacing="1" w:after="100" w:afterAutospacing="1"/>
      <w:textAlignment w:val="center"/>
    </w:pPr>
    <w:rPr>
      <w:rFonts w:ascii="Arial" w:hAnsi="Arial" w:cs="Arial"/>
      <w:color w:val="000000"/>
      <w:sz w:val="20"/>
      <w:szCs w:val="20"/>
    </w:rPr>
  </w:style>
  <w:style w:type="paragraph" w:customStyle="1" w:styleId="75">
    <w:name w:val="xl1062478"/>
    <w:basedOn w:val="1"/>
    <w:qFormat/>
    <w:uiPriority w:val="99"/>
    <w:pPr>
      <w:pBdr>
        <w:top w:val="single" w:color="auto" w:sz="4" w:space="1"/>
        <w:left w:val="single" w:color="auto" w:sz="4" w:space="1"/>
        <w:bottom w:val="single" w:color="auto" w:sz="4" w:space="0"/>
        <w:right w:val="single" w:color="auto" w:sz="4" w:space="1"/>
      </w:pBdr>
      <w:spacing w:before="100" w:beforeAutospacing="1" w:after="100" w:afterAutospacing="1"/>
      <w:textAlignment w:val="center"/>
    </w:pPr>
    <w:rPr>
      <w:color w:val="000000"/>
      <w:sz w:val="20"/>
      <w:szCs w:val="20"/>
    </w:rPr>
  </w:style>
  <w:style w:type="character" w:customStyle="1" w:styleId="76">
    <w:name w:val="页眉 字符"/>
    <w:basedOn w:val="37"/>
    <w:link w:val="23"/>
    <w:semiHidden/>
    <w:qFormat/>
    <w:locked/>
    <w:uiPriority w:val="99"/>
    <w:rPr>
      <w:rFonts w:ascii="宋体" w:hAnsi="宋体" w:eastAsia="宋体"/>
      <w:sz w:val="18"/>
    </w:rPr>
  </w:style>
  <w:style w:type="character" w:customStyle="1" w:styleId="77">
    <w:name w:val="页脚 字符"/>
    <w:basedOn w:val="37"/>
    <w:link w:val="22"/>
    <w:qFormat/>
    <w:locked/>
    <w:uiPriority w:val="99"/>
    <w:rPr>
      <w:rFonts w:ascii="宋体" w:hAnsi="宋体" w:eastAsia="宋体"/>
      <w:sz w:val="18"/>
    </w:rPr>
  </w:style>
  <w:style w:type="paragraph" w:customStyle="1" w:styleId="78">
    <w:name w:val="List Paragraph"/>
    <w:basedOn w:val="1"/>
    <w:qFormat/>
    <w:uiPriority w:val="99"/>
    <w:pPr>
      <w:ind w:firstLine="420" w:firstLineChars="200"/>
    </w:pPr>
  </w:style>
  <w:style w:type="paragraph" w:customStyle="1" w:styleId="79">
    <w:name w:val="font56441"/>
    <w:basedOn w:val="1"/>
    <w:qFormat/>
    <w:uiPriority w:val="99"/>
    <w:pPr>
      <w:spacing w:before="100" w:beforeAutospacing="1" w:after="100" w:afterAutospacing="1"/>
    </w:pPr>
    <w:rPr>
      <w:sz w:val="18"/>
      <w:szCs w:val="18"/>
    </w:rPr>
  </w:style>
  <w:style w:type="paragraph" w:customStyle="1" w:styleId="80">
    <w:name w:val="font66441"/>
    <w:basedOn w:val="1"/>
    <w:qFormat/>
    <w:uiPriority w:val="99"/>
    <w:pPr>
      <w:spacing w:before="100" w:beforeAutospacing="1" w:after="100" w:afterAutospacing="1"/>
    </w:pPr>
    <w:rPr>
      <w:sz w:val="18"/>
      <w:szCs w:val="18"/>
    </w:rPr>
  </w:style>
  <w:style w:type="paragraph" w:customStyle="1" w:styleId="81">
    <w:name w:val="xl756441"/>
    <w:basedOn w:val="1"/>
    <w:qFormat/>
    <w:uiPriority w:val="99"/>
    <w:pPr>
      <w:shd w:val="clear" w:color="000000" w:fill="FFFFFF"/>
      <w:spacing w:before="100" w:beforeAutospacing="1" w:after="100" w:afterAutospacing="1"/>
      <w:textAlignment w:val="center"/>
    </w:pPr>
    <w:rPr>
      <w:color w:val="000000"/>
      <w:sz w:val="20"/>
      <w:szCs w:val="20"/>
    </w:rPr>
  </w:style>
  <w:style w:type="paragraph" w:customStyle="1" w:styleId="82">
    <w:name w:val="xl766441"/>
    <w:basedOn w:val="1"/>
    <w:qFormat/>
    <w:uiPriority w:val="99"/>
    <w:pPr>
      <w:shd w:val="clear" w:color="000000" w:fill="FFFFFF"/>
      <w:spacing w:before="100" w:beforeAutospacing="1" w:after="100" w:afterAutospacing="1"/>
      <w:textAlignment w:val="center"/>
    </w:pPr>
    <w:rPr>
      <w:b/>
      <w:bCs/>
      <w:color w:val="000000"/>
      <w:sz w:val="20"/>
      <w:szCs w:val="20"/>
    </w:rPr>
  </w:style>
  <w:style w:type="paragraph" w:customStyle="1" w:styleId="83">
    <w:name w:val="xl776441"/>
    <w:basedOn w:val="1"/>
    <w:qFormat/>
    <w:uiPriority w:val="99"/>
    <w:pPr>
      <w:shd w:val="clear" w:color="000000" w:fill="FFFFFF"/>
      <w:spacing w:before="100" w:beforeAutospacing="1" w:after="100" w:afterAutospacing="1"/>
      <w:textAlignment w:val="center"/>
    </w:pPr>
    <w:rPr>
      <w:color w:val="000000"/>
      <w:sz w:val="22"/>
      <w:szCs w:val="22"/>
    </w:rPr>
  </w:style>
  <w:style w:type="paragraph" w:customStyle="1" w:styleId="84">
    <w:name w:val="xl786441"/>
    <w:basedOn w:val="1"/>
    <w:qFormat/>
    <w:uiPriority w:val="99"/>
    <w:pPr>
      <w:shd w:val="clear" w:color="000000" w:fill="FFFFFF"/>
      <w:spacing w:before="100" w:beforeAutospacing="1" w:after="100" w:afterAutospacing="1"/>
      <w:textAlignment w:val="center"/>
    </w:pPr>
    <w:rPr>
      <w:rFonts w:ascii="黑体" w:hAnsi="黑体" w:eastAsia="黑体"/>
      <w:color w:val="000000"/>
      <w:sz w:val="22"/>
      <w:szCs w:val="22"/>
    </w:rPr>
  </w:style>
  <w:style w:type="paragraph" w:customStyle="1" w:styleId="85">
    <w:name w:val="xl796441"/>
    <w:basedOn w:val="1"/>
    <w:qFormat/>
    <w:uiPriority w:val="99"/>
    <w:pPr>
      <w:pBdr>
        <w:bottom w:val="single" w:color="auto" w:sz="4" w:space="0"/>
      </w:pBdr>
      <w:shd w:val="clear" w:color="000000" w:fill="FFFFFF"/>
      <w:spacing w:before="100" w:beforeAutospacing="1" w:after="100" w:afterAutospacing="1"/>
      <w:jc w:val="center"/>
      <w:textAlignment w:val="center"/>
    </w:pPr>
    <w:rPr>
      <w:rFonts w:ascii="黑体" w:hAnsi="黑体" w:eastAsia="黑体"/>
      <w:sz w:val="36"/>
      <w:szCs w:val="36"/>
    </w:rPr>
  </w:style>
  <w:style w:type="paragraph" w:customStyle="1" w:styleId="86">
    <w:name w:val="xl806441"/>
    <w:basedOn w:val="1"/>
    <w:qFormat/>
    <w:uiPriority w:val="99"/>
    <w:pPr>
      <w:spacing w:before="100" w:beforeAutospacing="1" w:after="100" w:afterAutospacing="1"/>
      <w:jc w:val="center"/>
      <w:textAlignment w:val="center"/>
    </w:pPr>
    <w:rPr>
      <w:sz w:val="28"/>
      <w:szCs w:val="28"/>
    </w:rPr>
  </w:style>
  <w:style w:type="paragraph" w:customStyle="1" w:styleId="87">
    <w:name w:val="xl816441"/>
    <w:basedOn w:val="1"/>
    <w:qFormat/>
    <w:uiPriority w:val="99"/>
    <w:pPr>
      <w:shd w:val="clear" w:color="000000" w:fill="FFFFFF"/>
      <w:spacing w:before="100" w:beforeAutospacing="1" w:after="100" w:afterAutospacing="1"/>
      <w:textAlignment w:val="center"/>
    </w:pPr>
    <w:rPr>
      <w:rFonts w:ascii="仿宋_GB2312" w:eastAsia="仿宋_GB2312"/>
      <w:color w:val="000000"/>
      <w:sz w:val="22"/>
      <w:szCs w:val="22"/>
    </w:rPr>
  </w:style>
  <w:style w:type="paragraph" w:customStyle="1" w:styleId="88">
    <w:name w:val="xl826441"/>
    <w:basedOn w:val="1"/>
    <w:qFormat/>
    <w:uiPriority w:val="99"/>
    <w:pPr>
      <w:pBdr>
        <w:top w:val="single" w:color="auto" w:sz="4" w:space="1"/>
        <w:left w:val="single" w:color="auto" w:sz="4" w:space="1"/>
        <w:bottom w:val="single" w:color="auto" w:sz="4" w:space="0"/>
      </w:pBdr>
      <w:shd w:val="clear" w:color="000000" w:fill="FFFFFF"/>
      <w:spacing w:before="100" w:beforeAutospacing="1" w:after="100" w:afterAutospacing="1"/>
      <w:jc w:val="center"/>
      <w:textAlignment w:val="center"/>
    </w:pPr>
    <w:rPr>
      <w:b/>
      <w:bCs/>
      <w:sz w:val="20"/>
      <w:szCs w:val="20"/>
    </w:rPr>
  </w:style>
  <w:style w:type="paragraph" w:customStyle="1" w:styleId="89">
    <w:name w:val="xl836441"/>
    <w:basedOn w:val="1"/>
    <w:qFormat/>
    <w:uiPriority w:val="99"/>
    <w:pPr>
      <w:pBdr>
        <w:top w:val="single" w:color="auto" w:sz="4" w:space="1"/>
        <w:left w:val="single" w:color="auto" w:sz="4" w:space="1"/>
        <w:bottom w:val="single" w:color="auto" w:sz="4" w:space="0"/>
        <w:right w:val="single" w:color="auto" w:sz="4" w:space="1"/>
      </w:pBdr>
      <w:shd w:val="clear" w:color="000000" w:fill="FFFFFF"/>
      <w:spacing w:before="100" w:beforeAutospacing="1" w:after="100" w:afterAutospacing="1"/>
      <w:textAlignment w:val="center"/>
    </w:pPr>
    <w:rPr>
      <w:b/>
      <w:bCs/>
      <w:sz w:val="20"/>
      <w:szCs w:val="20"/>
    </w:rPr>
  </w:style>
  <w:style w:type="paragraph" w:customStyle="1" w:styleId="90">
    <w:name w:val="xl846441"/>
    <w:basedOn w:val="1"/>
    <w:qFormat/>
    <w:uiPriority w:val="99"/>
    <w:pPr>
      <w:pBdr>
        <w:top w:val="single" w:color="auto" w:sz="4" w:space="1"/>
        <w:left w:val="single" w:color="auto" w:sz="4" w:space="1"/>
        <w:bottom w:val="single" w:color="auto" w:sz="4" w:space="0"/>
        <w:right w:val="single" w:color="auto" w:sz="4" w:space="1"/>
      </w:pBdr>
      <w:shd w:val="clear" w:color="000000" w:fill="FFFFFF"/>
      <w:spacing w:before="100" w:beforeAutospacing="1" w:after="100" w:afterAutospacing="1"/>
      <w:jc w:val="center"/>
      <w:textAlignment w:val="center"/>
    </w:pPr>
    <w:rPr>
      <w:sz w:val="20"/>
      <w:szCs w:val="20"/>
    </w:rPr>
  </w:style>
  <w:style w:type="paragraph" w:customStyle="1" w:styleId="91">
    <w:name w:val="xl856441"/>
    <w:basedOn w:val="1"/>
    <w:qFormat/>
    <w:uiPriority w:val="99"/>
    <w:pPr>
      <w:pBdr>
        <w:top w:val="single" w:color="auto" w:sz="4" w:space="1"/>
        <w:left w:val="single" w:color="auto" w:sz="4" w:space="1"/>
        <w:bottom w:val="single" w:color="auto" w:sz="4" w:space="0"/>
        <w:right w:val="single" w:color="auto" w:sz="4" w:space="1"/>
      </w:pBdr>
      <w:shd w:val="clear" w:color="000000" w:fill="FFFFFF"/>
      <w:spacing w:before="100" w:beforeAutospacing="1" w:after="100" w:afterAutospacing="1"/>
      <w:textAlignment w:val="center"/>
    </w:pPr>
    <w:rPr>
      <w:sz w:val="20"/>
      <w:szCs w:val="20"/>
    </w:rPr>
  </w:style>
  <w:style w:type="paragraph" w:customStyle="1" w:styleId="92">
    <w:name w:val="xl866441"/>
    <w:basedOn w:val="1"/>
    <w:qFormat/>
    <w:uiPriority w:val="99"/>
    <w:pPr>
      <w:pBdr>
        <w:top w:val="single" w:color="auto" w:sz="4" w:space="1"/>
        <w:left w:val="single" w:color="auto" w:sz="4" w:space="1"/>
        <w:bottom w:val="single" w:color="auto" w:sz="4" w:space="0"/>
        <w:right w:val="single" w:color="auto" w:sz="4" w:space="1"/>
      </w:pBdr>
      <w:shd w:val="clear" w:color="000000" w:fill="FFFFFF"/>
      <w:spacing w:before="100" w:beforeAutospacing="1" w:after="100" w:afterAutospacing="1"/>
      <w:textAlignment w:val="center"/>
    </w:pPr>
    <w:rPr>
      <w:sz w:val="20"/>
      <w:szCs w:val="20"/>
    </w:rPr>
  </w:style>
  <w:style w:type="paragraph" w:customStyle="1" w:styleId="93">
    <w:name w:val="xl876441"/>
    <w:basedOn w:val="1"/>
    <w:qFormat/>
    <w:uiPriority w:val="99"/>
    <w:pPr>
      <w:pBdr>
        <w:top w:val="single" w:color="auto" w:sz="4" w:space="1"/>
        <w:left w:val="single" w:color="auto" w:sz="4" w:space="1"/>
        <w:bottom w:val="single" w:color="auto" w:sz="4" w:space="0"/>
        <w:right w:val="single" w:color="auto" w:sz="4" w:space="1"/>
      </w:pBdr>
      <w:shd w:val="clear" w:color="000000" w:fill="FFFFFF"/>
      <w:spacing w:before="100" w:beforeAutospacing="1" w:after="100" w:afterAutospacing="1"/>
      <w:jc w:val="center"/>
      <w:textAlignment w:val="center"/>
    </w:pPr>
    <w:rPr>
      <w:b/>
      <w:bCs/>
      <w:sz w:val="20"/>
      <w:szCs w:val="20"/>
    </w:rPr>
  </w:style>
  <w:style w:type="paragraph" w:customStyle="1" w:styleId="94">
    <w:name w:val="xl886441"/>
    <w:basedOn w:val="1"/>
    <w:qFormat/>
    <w:uiPriority w:val="99"/>
    <w:pPr>
      <w:pBdr>
        <w:top w:val="single" w:color="auto" w:sz="4" w:space="1"/>
        <w:left w:val="single" w:color="auto" w:sz="4" w:space="1"/>
        <w:bottom w:val="single" w:color="auto" w:sz="4" w:space="0"/>
        <w:right w:val="single" w:color="auto" w:sz="4" w:space="1"/>
      </w:pBdr>
      <w:shd w:val="clear" w:color="000000" w:fill="FFFFFF"/>
      <w:spacing w:before="100" w:beforeAutospacing="1" w:after="100" w:afterAutospacing="1"/>
      <w:textAlignment w:val="center"/>
    </w:pPr>
    <w:rPr>
      <w:color w:val="000000"/>
      <w:sz w:val="20"/>
      <w:szCs w:val="20"/>
    </w:rPr>
  </w:style>
  <w:style w:type="paragraph" w:customStyle="1" w:styleId="95">
    <w:name w:val="xl896441"/>
    <w:basedOn w:val="1"/>
    <w:qFormat/>
    <w:uiPriority w:val="99"/>
    <w:pPr>
      <w:pBdr>
        <w:top w:val="single" w:color="auto" w:sz="4" w:space="1"/>
        <w:left w:val="single" w:color="auto" w:sz="4" w:space="1"/>
        <w:bottom w:val="single" w:color="auto" w:sz="4" w:space="0"/>
        <w:right w:val="single" w:color="auto" w:sz="4" w:space="1"/>
      </w:pBdr>
      <w:shd w:val="clear" w:color="000000" w:fill="FFFFFF"/>
      <w:spacing w:before="100" w:beforeAutospacing="1" w:after="100" w:afterAutospacing="1"/>
      <w:textAlignment w:val="center"/>
    </w:pPr>
    <w:rPr>
      <w:sz w:val="20"/>
      <w:szCs w:val="20"/>
    </w:rPr>
  </w:style>
  <w:style w:type="paragraph" w:customStyle="1" w:styleId="96">
    <w:name w:val="xl906441"/>
    <w:basedOn w:val="1"/>
    <w:qFormat/>
    <w:uiPriority w:val="99"/>
    <w:pPr>
      <w:shd w:val="clear" w:color="000000" w:fill="FFFFFF"/>
      <w:spacing w:before="100" w:beforeAutospacing="1" w:after="100" w:afterAutospacing="1"/>
      <w:textAlignment w:val="center"/>
    </w:pPr>
    <w:rPr>
      <w:color w:val="000000"/>
      <w:sz w:val="22"/>
      <w:szCs w:val="22"/>
    </w:rPr>
  </w:style>
  <w:style w:type="paragraph" w:customStyle="1" w:styleId="97">
    <w:name w:val="xl916441"/>
    <w:basedOn w:val="1"/>
    <w:qFormat/>
    <w:uiPriority w:val="99"/>
    <w:pPr>
      <w:shd w:val="clear" w:color="000000" w:fill="FFFFFF"/>
      <w:spacing w:before="100" w:beforeAutospacing="1" w:after="100" w:afterAutospacing="1"/>
      <w:textAlignment w:val="center"/>
    </w:pPr>
    <w:rPr>
      <w:sz w:val="20"/>
      <w:szCs w:val="20"/>
    </w:rPr>
  </w:style>
  <w:style w:type="paragraph" w:customStyle="1" w:styleId="98">
    <w:name w:val="xl926441"/>
    <w:basedOn w:val="1"/>
    <w:qFormat/>
    <w:uiPriority w:val="99"/>
    <w:pPr>
      <w:shd w:val="clear" w:color="000000" w:fill="FFFFFF"/>
      <w:spacing w:before="100" w:beforeAutospacing="1" w:after="100" w:afterAutospacing="1"/>
      <w:jc w:val="center"/>
      <w:textAlignment w:val="center"/>
    </w:pPr>
    <w:rPr>
      <w:rFonts w:ascii="黑体" w:hAnsi="黑体" w:eastAsia="黑体"/>
      <w:sz w:val="32"/>
      <w:szCs w:val="32"/>
    </w:rPr>
  </w:style>
  <w:style w:type="paragraph" w:customStyle="1" w:styleId="99">
    <w:name w:val="xl936441"/>
    <w:basedOn w:val="1"/>
    <w:qFormat/>
    <w:uiPriority w:val="99"/>
    <w:pPr>
      <w:pBdr>
        <w:top w:val="single" w:color="auto" w:sz="4" w:space="1"/>
        <w:left w:val="single" w:color="auto" w:sz="4" w:space="1"/>
        <w:bottom w:val="single" w:color="auto" w:sz="4" w:space="0"/>
        <w:right w:val="single" w:color="auto" w:sz="4" w:space="1"/>
      </w:pBdr>
      <w:shd w:val="clear" w:color="000000" w:fill="FFFFFF"/>
      <w:spacing w:before="100" w:beforeAutospacing="1" w:after="100" w:afterAutospacing="1"/>
      <w:jc w:val="center"/>
      <w:textAlignment w:val="center"/>
    </w:pPr>
    <w:rPr>
      <w:b/>
      <w:bCs/>
      <w:color w:val="000000"/>
      <w:sz w:val="20"/>
      <w:szCs w:val="20"/>
    </w:rPr>
  </w:style>
  <w:style w:type="paragraph" w:customStyle="1" w:styleId="100">
    <w:name w:val="xl946441"/>
    <w:basedOn w:val="1"/>
    <w:qFormat/>
    <w:uiPriority w:val="99"/>
    <w:pPr>
      <w:pBdr>
        <w:top w:val="single" w:color="auto" w:sz="4" w:space="1"/>
        <w:left w:val="single" w:color="auto" w:sz="4" w:space="1"/>
        <w:right w:val="single" w:color="auto" w:sz="4" w:space="1"/>
      </w:pBdr>
      <w:shd w:val="clear" w:color="000000" w:fill="FFFFFF"/>
      <w:spacing w:before="100" w:beforeAutospacing="1" w:after="100" w:afterAutospacing="1"/>
      <w:jc w:val="center"/>
      <w:textAlignment w:val="center"/>
    </w:pPr>
    <w:rPr>
      <w:sz w:val="20"/>
      <w:szCs w:val="20"/>
    </w:rPr>
  </w:style>
  <w:style w:type="paragraph" w:customStyle="1" w:styleId="101">
    <w:name w:val="xl956441"/>
    <w:basedOn w:val="1"/>
    <w:qFormat/>
    <w:uiPriority w:val="99"/>
    <w:pPr>
      <w:pBdr>
        <w:left w:val="single" w:color="auto" w:sz="4" w:space="1"/>
        <w:right w:val="single" w:color="auto" w:sz="4" w:space="1"/>
      </w:pBdr>
      <w:shd w:val="clear" w:color="000000" w:fill="FFFFFF"/>
      <w:spacing w:before="100" w:beforeAutospacing="1" w:after="100" w:afterAutospacing="1"/>
      <w:jc w:val="center"/>
      <w:textAlignment w:val="center"/>
    </w:pPr>
    <w:rPr>
      <w:sz w:val="20"/>
      <w:szCs w:val="20"/>
    </w:rPr>
  </w:style>
  <w:style w:type="paragraph" w:customStyle="1" w:styleId="102">
    <w:name w:val="xl966441"/>
    <w:basedOn w:val="1"/>
    <w:qFormat/>
    <w:uiPriority w:val="99"/>
    <w:pPr>
      <w:pBdr>
        <w:left w:val="single" w:color="auto" w:sz="4" w:space="1"/>
        <w:bottom w:val="single" w:color="auto" w:sz="4" w:space="0"/>
        <w:right w:val="single" w:color="auto" w:sz="4" w:space="1"/>
      </w:pBdr>
      <w:shd w:val="clear" w:color="000000" w:fill="FFFFFF"/>
      <w:spacing w:before="100" w:beforeAutospacing="1" w:after="100" w:afterAutospacing="1"/>
      <w:jc w:val="center"/>
      <w:textAlignment w:val="center"/>
    </w:pPr>
    <w:rPr>
      <w:sz w:val="20"/>
      <w:szCs w:val="20"/>
    </w:rPr>
  </w:style>
  <w:style w:type="character" w:customStyle="1" w:styleId="103">
    <w:name w:val="批注框文本 Char"/>
    <w:qFormat/>
    <w:locked/>
    <w:uiPriority w:val="99"/>
    <w:rPr>
      <w:rFonts w:ascii="Calibri" w:hAnsi="Calibri"/>
      <w:kern w:val="2"/>
      <w:sz w:val="18"/>
    </w:rPr>
  </w:style>
  <w:style w:type="character" w:customStyle="1" w:styleId="104">
    <w:name w:val="批注框文本 字符"/>
    <w:basedOn w:val="37"/>
    <w:link w:val="21"/>
    <w:semiHidden/>
    <w:qFormat/>
    <w:uiPriority w:val="99"/>
    <w:rPr>
      <w:rFonts w:ascii="宋体" w:hAnsi="宋体" w:cs="宋体"/>
      <w:kern w:val="0"/>
      <w:sz w:val="0"/>
      <w:szCs w:val="0"/>
    </w:rPr>
  </w:style>
  <w:style w:type="character" w:customStyle="1" w:styleId="105">
    <w:name w:val="脚注文本 Char"/>
    <w:qFormat/>
    <w:locked/>
    <w:uiPriority w:val="99"/>
    <w:rPr>
      <w:rFonts w:ascii="Calibri" w:hAnsi="Calibri"/>
      <w:kern w:val="2"/>
      <w:sz w:val="18"/>
    </w:rPr>
  </w:style>
  <w:style w:type="character" w:customStyle="1" w:styleId="106">
    <w:name w:val="脚注文本 字符"/>
    <w:basedOn w:val="37"/>
    <w:link w:val="27"/>
    <w:semiHidden/>
    <w:qFormat/>
    <w:uiPriority w:val="99"/>
    <w:rPr>
      <w:rFonts w:ascii="宋体" w:hAnsi="宋体" w:cs="宋体"/>
      <w:kern w:val="0"/>
      <w:sz w:val="18"/>
      <w:szCs w:val="18"/>
    </w:rPr>
  </w:style>
  <w:style w:type="character" w:customStyle="1" w:styleId="107">
    <w:name w:val="文档结构图 Char"/>
    <w:qFormat/>
    <w:locked/>
    <w:uiPriority w:val="99"/>
    <w:rPr>
      <w:rFonts w:ascii="宋体" w:hAnsi="Calibri" w:eastAsia="宋体"/>
      <w:kern w:val="2"/>
      <w:sz w:val="18"/>
    </w:rPr>
  </w:style>
  <w:style w:type="character" w:customStyle="1" w:styleId="108">
    <w:name w:val="文档结构图 字符"/>
    <w:basedOn w:val="37"/>
    <w:link w:val="13"/>
    <w:semiHidden/>
    <w:qFormat/>
    <w:uiPriority w:val="99"/>
    <w:rPr>
      <w:rFonts w:cs="宋体"/>
      <w:kern w:val="0"/>
      <w:sz w:val="0"/>
      <w:szCs w:val="0"/>
    </w:rPr>
  </w:style>
  <w:style w:type="character" w:customStyle="1" w:styleId="109">
    <w:name w:val="标题 字符"/>
    <w:basedOn w:val="37"/>
    <w:link w:val="33"/>
    <w:qFormat/>
    <w:locked/>
    <w:uiPriority w:val="99"/>
    <w:rPr>
      <w:rFonts w:ascii="Cambria" w:hAnsi="Cambria" w:eastAsia="宋体"/>
      <w:b/>
      <w:kern w:val="2"/>
      <w:sz w:val="32"/>
    </w:rPr>
  </w:style>
  <w:style w:type="character" w:customStyle="1" w:styleId="110">
    <w:name w:val="副标题 字符"/>
    <w:basedOn w:val="37"/>
    <w:link w:val="26"/>
    <w:qFormat/>
    <w:locked/>
    <w:uiPriority w:val="99"/>
    <w:rPr>
      <w:rFonts w:ascii="Cambria" w:hAnsi="Cambria" w:eastAsia="宋体"/>
      <w:b/>
      <w:kern w:val="28"/>
      <w:sz w:val="32"/>
    </w:rPr>
  </w:style>
  <w:style w:type="paragraph" w:customStyle="1" w:styleId="111">
    <w:name w:val="No Spacing"/>
    <w:link w:val="112"/>
    <w:qFormat/>
    <w:uiPriority w:val="99"/>
    <w:pPr>
      <w:ind w:firstLine="200" w:firstLineChars="200"/>
    </w:pPr>
    <w:rPr>
      <w:rFonts w:ascii="Times New Roman" w:hAnsi="Times New Roman" w:eastAsia="仿宋_GB2312" w:cs="Times New Roman"/>
      <w:sz w:val="30"/>
      <w:szCs w:val="22"/>
      <w:lang w:val="en-US" w:eastAsia="zh-CN" w:bidi="ar-SA"/>
    </w:rPr>
  </w:style>
  <w:style w:type="character" w:customStyle="1" w:styleId="112">
    <w:name w:val="无间隔 字符"/>
    <w:link w:val="111"/>
    <w:qFormat/>
    <w:locked/>
    <w:uiPriority w:val="99"/>
    <w:rPr>
      <w:rFonts w:eastAsia="仿宋_GB2312"/>
      <w:sz w:val="30"/>
      <w:szCs w:val="22"/>
      <w:lang w:bidi="ar-SA"/>
    </w:rPr>
  </w:style>
  <w:style w:type="character" w:customStyle="1" w:styleId="113">
    <w:name w:val="目录 3 字符"/>
    <w:link w:val="18"/>
    <w:qFormat/>
    <w:locked/>
    <w:uiPriority w:val="39"/>
    <w:rPr>
      <w:rFonts w:eastAsia="宋体" w:cstheme="minorHAnsi"/>
      <w:i/>
      <w:iCs/>
    </w:rPr>
  </w:style>
  <w:style w:type="character" w:customStyle="1" w:styleId="114">
    <w:name w:val="目录 1 字符"/>
    <w:link w:val="24"/>
    <w:qFormat/>
    <w:locked/>
    <w:uiPriority w:val="39"/>
    <w:rPr>
      <w:rFonts w:eastAsia="宋体" w:cstheme="minorHAnsi"/>
      <w:b/>
      <w:bCs/>
      <w:i/>
      <w:iCs/>
      <w:caps/>
    </w:rPr>
  </w:style>
  <w:style w:type="character" w:customStyle="1" w:styleId="115">
    <w:name w:val="目录 2 字符"/>
    <w:link w:val="29"/>
    <w:qFormat/>
    <w:locked/>
    <w:uiPriority w:val="39"/>
    <w:rPr>
      <w:rFonts w:eastAsia="宋体" w:cstheme="minorHAnsi"/>
      <w:i/>
      <w:iCs/>
      <w:smallCaps/>
    </w:rPr>
  </w:style>
  <w:style w:type="paragraph" w:customStyle="1" w:styleId="116">
    <w:name w:val="目录一"/>
    <w:basedOn w:val="29"/>
    <w:link w:val="117"/>
    <w:qFormat/>
    <w:uiPriority w:val="99"/>
    <w:rPr>
      <w:rFonts w:eastAsia="黑体"/>
      <w:b/>
      <w:iCs/>
      <w:caps/>
      <w:sz w:val="28"/>
    </w:rPr>
  </w:style>
  <w:style w:type="character" w:customStyle="1" w:styleId="117">
    <w:name w:val="目录一 Char"/>
    <w:link w:val="116"/>
    <w:qFormat/>
    <w:locked/>
    <w:uiPriority w:val="99"/>
    <w:rPr>
      <w:rFonts w:ascii="华文中宋" w:hAnsi="华文中宋" w:eastAsia="黑体"/>
      <w:b/>
      <w:caps/>
      <w:smallCaps/>
      <w:kern w:val="2"/>
      <w:sz w:val="28"/>
    </w:rPr>
  </w:style>
  <w:style w:type="paragraph" w:customStyle="1" w:styleId="118">
    <w:name w:val="目录1"/>
    <w:basedOn w:val="18"/>
    <w:link w:val="119"/>
    <w:qFormat/>
    <w:uiPriority w:val="99"/>
    <w:pPr>
      <w:spacing w:line="400" w:lineRule="exact"/>
    </w:pPr>
    <w:rPr>
      <w:sz w:val="28"/>
    </w:rPr>
  </w:style>
  <w:style w:type="character" w:customStyle="1" w:styleId="119">
    <w:name w:val="目录1 Char"/>
    <w:link w:val="118"/>
    <w:qFormat/>
    <w:locked/>
    <w:uiPriority w:val="99"/>
    <w:rPr>
      <w:rFonts w:ascii="黑体" w:hAnsi="黑体" w:eastAsia="黑体"/>
      <w:kern w:val="2"/>
      <w:sz w:val="28"/>
    </w:rPr>
  </w:style>
  <w:style w:type="paragraph" w:customStyle="1" w:styleId="120">
    <w:name w:val="目录标题"/>
    <w:basedOn w:val="4"/>
    <w:link w:val="121"/>
    <w:qFormat/>
    <w:uiPriority w:val="99"/>
    <w:pPr>
      <w:ind w:firstLine="200"/>
    </w:pPr>
    <w:rPr>
      <w:bCs w:val="0"/>
      <w:sz w:val="44"/>
      <w:szCs w:val="20"/>
    </w:rPr>
  </w:style>
  <w:style w:type="character" w:customStyle="1" w:styleId="121">
    <w:name w:val="目录标题 Char"/>
    <w:link w:val="120"/>
    <w:qFormat/>
    <w:locked/>
    <w:uiPriority w:val="99"/>
    <w:rPr>
      <w:rFonts w:ascii="宋体" w:hAnsi="宋体" w:eastAsia="华文中宋"/>
      <w:sz w:val="44"/>
    </w:rPr>
  </w:style>
  <w:style w:type="paragraph" w:customStyle="1" w:styleId="122">
    <w:name w:val="目录（一）"/>
    <w:basedOn w:val="118"/>
    <w:link w:val="123"/>
    <w:qFormat/>
    <w:uiPriority w:val="99"/>
    <w:rPr>
      <w:sz w:val="24"/>
    </w:rPr>
  </w:style>
  <w:style w:type="character" w:customStyle="1" w:styleId="123">
    <w:name w:val="目录（一） Char"/>
    <w:link w:val="122"/>
    <w:qFormat/>
    <w:locked/>
    <w:uiPriority w:val="99"/>
    <w:rPr>
      <w:rFonts w:ascii="黑体" w:hAnsi="黑体" w:eastAsia="黑体"/>
      <w:kern w:val="2"/>
      <w:sz w:val="24"/>
    </w:rPr>
  </w:style>
  <w:style w:type="character" w:customStyle="1" w:styleId="124">
    <w:name w:val="访问过的超链接1"/>
    <w:qFormat/>
    <w:uiPriority w:val="99"/>
    <w:rPr>
      <w:rFonts w:eastAsia="宋体"/>
      <w:color w:val="800080"/>
      <w:kern w:val="2"/>
      <w:sz w:val="24"/>
      <w:u w:val="single"/>
      <w:lang w:val="en-US" w:eastAsia="zh-CN"/>
    </w:rPr>
  </w:style>
  <w:style w:type="character" w:customStyle="1" w:styleId="125">
    <w:name w:val="Body Text Indent Char"/>
    <w:qFormat/>
    <w:locked/>
    <w:uiPriority w:val="99"/>
    <w:rPr>
      <w:rFonts w:ascii="仿宋_GB2312" w:eastAsia="仿宋_GB2312"/>
      <w:sz w:val="30"/>
    </w:rPr>
  </w:style>
  <w:style w:type="character" w:customStyle="1" w:styleId="126">
    <w:name w:val="Body Text Indent Char1"/>
    <w:basedOn w:val="37"/>
    <w:semiHidden/>
    <w:qFormat/>
    <w:uiPriority w:val="99"/>
    <w:rPr>
      <w:rFonts w:ascii="仿宋_GB2312" w:hAnsi="宋体" w:eastAsia="仿宋_GB2312"/>
      <w:color w:val="000000"/>
      <w:kern w:val="16"/>
      <w:sz w:val="30"/>
    </w:rPr>
  </w:style>
  <w:style w:type="character" w:customStyle="1" w:styleId="127">
    <w:name w:val="正文文本缩进 字符"/>
    <w:link w:val="16"/>
    <w:qFormat/>
    <w:locked/>
    <w:uiPriority w:val="99"/>
    <w:rPr>
      <w:rFonts w:ascii="仿宋_GB2312" w:hAnsi="Calibri" w:eastAsia="仿宋_GB2312"/>
      <w:sz w:val="30"/>
    </w:rPr>
  </w:style>
  <w:style w:type="character" w:customStyle="1" w:styleId="128">
    <w:name w:val="批注文字 字符"/>
    <w:basedOn w:val="37"/>
    <w:link w:val="14"/>
    <w:semiHidden/>
    <w:qFormat/>
    <w:locked/>
    <w:uiPriority w:val="99"/>
    <w:rPr>
      <w:rFonts w:ascii="仿宋_GB2312" w:hAnsi="宋体" w:eastAsia="仿宋_GB2312"/>
      <w:color w:val="000000"/>
      <w:kern w:val="16"/>
      <w:sz w:val="30"/>
    </w:rPr>
  </w:style>
  <w:style w:type="character" w:customStyle="1" w:styleId="129">
    <w:name w:val="批注主题 字符"/>
    <w:basedOn w:val="128"/>
    <w:link w:val="34"/>
    <w:semiHidden/>
    <w:qFormat/>
    <w:locked/>
    <w:uiPriority w:val="99"/>
    <w:rPr>
      <w:rFonts w:ascii="仿宋_GB2312" w:hAnsi="宋体" w:eastAsia="仿宋_GB2312"/>
      <w:b/>
      <w:color w:val="000000"/>
      <w:kern w:val="16"/>
      <w:sz w:val="30"/>
    </w:rPr>
  </w:style>
  <w:style w:type="paragraph" w:customStyle="1" w:styleId="130">
    <w:name w:val="默认段落字体 Para Char Char Char Char Char Char Char"/>
    <w:basedOn w:val="1"/>
    <w:qFormat/>
    <w:uiPriority w:val="99"/>
    <w:pPr>
      <w:widowControl w:val="0"/>
      <w:jc w:val="both"/>
    </w:pPr>
    <w:rPr>
      <w:rFonts w:ascii="Arial" w:hAnsi="Arial" w:cs="Arial"/>
      <w:kern w:val="2"/>
      <w:sz w:val="20"/>
      <w:szCs w:val="20"/>
    </w:rPr>
  </w:style>
  <w:style w:type="paragraph" w:customStyle="1" w:styleId="131">
    <w:name w:val="Char"/>
    <w:basedOn w:val="1"/>
    <w:qFormat/>
    <w:uiPriority w:val="99"/>
    <w:pPr>
      <w:widowControl w:val="0"/>
      <w:jc w:val="both"/>
    </w:pPr>
    <w:rPr>
      <w:rFonts w:ascii="仿宋_GB2312" w:eastAsia="仿宋_GB2312" w:cs="仿宋_GB2312"/>
      <w:color w:val="000000"/>
      <w:kern w:val="16"/>
      <w:sz w:val="30"/>
      <w:szCs w:val="30"/>
    </w:rPr>
  </w:style>
  <w:style w:type="paragraph" w:customStyle="1" w:styleId="132">
    <w:name w:val="样式5"/>
    <w:basedOn w:val="3"/>
    <w:qFormat/>
    <w:uiPriority w:val="99"/>
    <w:pPr>
      <w:widowControl/>
      <w:tabs>
        <w:tab w:val="left" w:pos="794"/>
        <w:tab w:val="left" w:pos="2127"/>
        <w:tab w:val="left" w:pos="2410"/>
        <w:tab w:val="left" w:pos="2921"/>
        <w:tab w:val="left" w:pos="3261"/>
      </w:tabs>
      <w:overflowPunct w:val="0"/>
      <w:autoSpaceDE w:val="0"/>
      <w:autoSpaceDN w:val="0"/>
      <w:adjustRightInd w:val="0"/>
      <w:spacing w:beforeLines="50" w:afterLines="50" w:line="240" w:lineRule="auto"/>
      <w:ind w:left="1276"/>
      <w:jc w:val="center"/>
      <w:textAlignment w:val="baseline"/>
    </w:pPr>
    <w:rPr>
      <w:rFonts w:ascii="黑体" w:eastAsia="黑体" w:cs="黑体"/>
      <w:b w:val="0"/>
      <w:kern w:val="0"/>
      <w:sz w:val="36"/>
      <w:szCs w:val="36"/>
      <w:lang w:val="en-GB"/>
    </w:rPr>
  </w:style>
  <w:style w:type="paragraph" w:customStyle="1" w:styleId="133">
    <w:name w:val="Char Char Char Char Char Char Char"/>
    <w:basedOn w:val="13"/>
    <w:qFormat/>
    <w:uiPriority w:val="99"/>
    <w:pPr>
      <w:shd w:val="clear" w:color="auto" w:fill="000080"/>
      <w:adjustRightInd w:val="0"/>
      <w:spacing w:line="360" w:lineRule="auto"/>
      <w:ind w:left="1276"/>
      <w:jc w:val="center"/>
      <w:outlineLvl w:val="3"/>
    </w:pPr>
    <w:rPr>
      <w:rFonts w:ascii="Tahoma" w:hAnsi="Tahoma" w:eastAsia="仿宋_GB2312" w:cs="Tahoma"/>
      <w:color w:val="000000"/>
      <w:kern w:val="16"/>
      <w:sz w:val="24"/>
      <w:szCs w:val="24"/>
    </w:rPr>
  </w:style>
  <w:style w:type="paragraph" w:customStyle="1" w:styleId="134">
    <w:name w:val="样式 标题 2一级条标题l22Heading 2 CharH2H3二级h22nd levelheading ...1"/>
    <w:basedOn w:val="4"/>
    <w:qFormat/>
    <w:uiPriority w:val="99"/>
    <w:pPr>
      <w:spacing w:beforeLines="50" w:afterLines="50"/>
      <w:ind w:left="1276"/>
    </w:pPr>
    <w:rPr>
      <w:rFonts w:ascii="黑体" w:hAnsi="Times New Roman" w:eastAsia="黑体" w:cs="黑体"/>
      <w:bCs w:val="0"/>
      <w:color w:val="000000"/>
      <w:kern w:val="16"/>
      <w:szCs w:val="30"/>
    </w:rPr>
  </w:style>
  <w:style w:type="paragraph" w:customStyle="1" w:styleId="135">
    <w:name w:val="tgt1"/>
    <w:basedOn w:val="1"/>
    <w:qFormat/>
    <w:uiPriority w:val="99"/>
    <w:pPr>
      <w:spacing w:after="150"/>
    </w:pPr>
  </w:style>
  <w:style w:type="paragraph" w:customStyle="1" w:styleId="136">
    <w:name w:val="样式 标题 3二级条标题h3第二层条第三层1.1.1 标题 3l3CT3h4Heading 3 - old...2"/>
    <w:basedOn w:val="1"/>
    <w:qFormat/>
    <w:uiPriority w:val="99"/>
    <w:pPr>
      <w:widowControl w:val="0"/>
      <w:ind w:left="1276"/>
      <w:jc w:val="both"/>
    </w:pPr>
    <w:rPr>
      <w:rFonts w:ascii="仿宋_GB2312" w:eastAsia="仿宋_GB2312" w:cs="仿宋_GB2312"/>
      <w:color w:val="000000"/>
      <w:kern w:val="16"/>
      <w:sz w:val="30"/>
      <w:szCs w:val="30"/>
    </w:rPr>
  </w:style>
  <w:style w:type="paragraph" w:customStyle="1" w:styleId="137">
    <w:name w:val="Char Char Char Char"/>
    <w:basedOn w:val="1"/>
    <w:qFormat/>
    <w:uiPriority w:val="99"/>
    <w:pPr>
      <w:widowControl w:val="0"/>
      <w:tabs>
        <w:tab w:val="left" w:pos="1415"/>
      </w:tabs>
      <w:ind w:left="1415" w:hanging="855"/>
      <w:jc w:val="both"/>
    </w:pPr>
    <w:rPr>
      <w:rFonts w:ascii="Times New Roman" w:hAnsi="Times New Roman" w:cs="Times New Roman"/>
      <w:kern w:val="2"/>
    </w:rPr>
  </w:style>
  <w:style w:type="paragraph" w:customStyle="1" w:styleId="138">
    <w:name w:val="修订1"/>
    <w:hidden/>
    <w:semiHidden/>
    <w:qFormat/>
    <w:uiPriority w:val="99"/>
    <w:rPr>
      <w:rFonts w:ascii="仿宋_GB2312" w:hAnsi="宋体" w:eastAsia="仿宋_GB2312" w:cs="仿宋_GB2312"/>
      <w:color w:val="000000"/>
      <w:kern w:val="16"/>
      <w:sz w:val="30"/>
      <w:szCs w:val="30"/>
      <w:lang w:val="en-US" w:eastAsia="zh-CN" w:bidi="ar-SA"/>
    </w:rPr>
  </w:style>
  <w:style w:type="paragraph" w:customStyle="1" w:styleId="139">
    <w:name w:val="样式1"/>
    <w:basedOn w:val="1"/>
    <w:link w:val="140"/>
    <w:qFormat/>
    <w:uiPriority w:val="99"/>
    <w:pPr>
      <w:jc w:val="both"/>
    </w:pPr>
    <w:rPr>
      <w:rFonts w:ascii="仿宋_GB2312" w:eastAsia="仿宋_GB2312" w:cs="Times New Roman"/>
      <w:kern w:val="16"/>
      <w:sz w:val="30"/>
      <w:szCs w:val="20"/>
    </w:rPr>
  </w:style>
  <w:style w:type="character" w:customStyle="1" w:styleId="140">
    <w:name w:val="样式1 Char"/>
    <w:link w:val="139"/>
    <w:qFormat/>
    <w:locked/>
    <w:uiPriority w:val="99"/>
    <w:rPr>
      <w:rFonts w:ascii="仿宋_GB2312" w:hAnsi="宋体" w:eastAsia="仿宋_GB2312"/>
      <w:kern w:val="16"/>
      <w:sz w:val="30"/>
    </w:rPr>
  </w:style>
  <w:style w:type="character" w:customStyle="1" w:styleId="141">
    <w:name w:val="HTML 预设格式 字符"/>
    <w:basedOn w:val="37"/>
    <w:link w:val="31"/>
    <w:semiHidden/>
    <w:qFormat/>
    <w:locked/>
    <w:uiPriority w:val="99"/>
    <w:rPr>
      <w:rFonts w:ascii="宋体" w:hAnsi="宋体" w:eastAsia="宋体"/>
      <w:sz w:val="24"/>
    </w:rPr>
  </w:style>
  <w:style w:type="paragraph" w:customStyle="1" w:styleId="142">
    <w:name w:val="TOC 标题1"/>
    <w:basedOn w:val="3"/>
    <w:next w:val="1"/>
    <w:qFormat/>
    <w:uiPriority w:val="99"/>
    <w:pPr>
      <w:widowControl/>
      <w:spacing w:before="480" w:after="0" w:line="276" w:lineRule="auto"/>
      <w:jc w:val="left"/>
      <w:outlineLvl w:val="9"/>
    </w:pPr>
    <w:rPr>
      <w:rFonts w:ascii="Cambria" w:hAnsi="Cambria" w:eastAsia="宋体" w:cs="Cambria"/>
      <w:bCs/>
      <w:color w:val="365F91"/>
      <w:kern w:val="0"/>
      <w:sz w:val="28"/>
      <w:szCs w:val="28"/>
    </w:rPr>
  </w:style>
  <w:style w:type="paragraph" w:customStyle="1" w:styleId="14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bCs/>
      <w:color w:val="376092" w:themeColor="accent1" w:themeShade="BF"/>
      <w:kern w:val="0"/>
      <w:sz w:val="28"/>
      <w:szCs w:val="28"/>
    </w:rPr>
  </w:style>
  <w:style w:type="table" w:customStyle="1" w:styleId="144">
    <w:name w:val="Table Normal"/>
    <w:unhideWhenUsed/>
    <w:qFormat/>
    <w:uiPriority w:val="2"/>
    <w:pPr>
      <w:widowControl w:val="0"/>
    </w:pPr>
    <w:rPr>
      <w:sz w:val="22"/>
      <w:szCs w:val="22"/>
      <w:lang w:eastAsia="en-US"/>
    </w:rPr>
    <w:tblPr>
      <w:tblCellMar>
        <w:top w:w="0" w:type="dxa"/>
        <w:left w:w="0" w:type="dxa"/>
        <w:bottom w:w="0" w:type="dxa"/>
        <w:right w:w="0" w:type="dxa"/>
      </w:tblCellMar>
    </w:tblPr>
  </w:style>
  <w:style w:type="paragraph" w:customStyle="1" w:styleId="145">
    <w:name w:val="Table Paragraph"/>
    <w:basedOn w:val="1"/>
    <w:qFormat/>
    <w:uiPriority w:val="1"/>
    <w:pPr>
      <w:widowControl w:val="0"/>
    </w:pPr>
    <w:rPr>
      <w:rFonts w:asciiTheme="minorHAnsi" w:hAnsiTheme="minorHAnsi" w:eastAsiaTheme="minorEastAsia" w:cstheme="minorBidi"/>
      <w:sz w:val="22"/>
      <w:szCs w:val="22"/>
      <w:lang w:eastAsia="en-US"/>
    </w:rPr>
  </w:style>
  <w:style w:type="table" w:customStyle="1" w:styleId="146">
    <w:name w:val="Table Normal1"/>
    <w:unhideWhenUsed/>
    <w:qFormat/>
    <w:uiPriority w:val="2"/>
    <w:pPr>
      <w:widowControl w:val="0"/>
    </w:pPr>
    <w:rPr>
      <w:sz w:val="22"/>
      <w:szCs w:val="22"/>
      <w:lang w:eastAsia="en-US"/>
    </w:rPr>
    <w:tblPr>
      <w:tblCellMar>
        <w:top w:w="0" w:type="dxa"/>
        <w:left w:w="0" w:type="dxa"/>
        <w:bottom w:w="0" w:type="dxa"/>
        <w:right w:w="0" w:type="dxa"/>
      </w:tblCellMar>
    </w:tblPr>
  </w:style>
  <w:style w:type="table" w:customStyle="1" w:styleId="147">
    <w:name w:val="Table Normal2"/>
    <w:unhideWhenUsed/>
    <w:qFormat/>
    <w:uiPriority w:val="2"/>
    <w:pPr>
      <w:widowControl w:val="0"/>
    </w:pPr>
    <w:rPr>
      <w:sz w:val="22"/>
      <w:szCs w:val="22"/>
      <w:lang w:eastAsia="en-US"/>
    </w:rPr>
    <w:tblPr>
      <w:tblCellMar>
        <w:top w:w="0" w:type="dxa"/>
        <w:left w:w="0" w:type="dxa"/>
        <w:bottom w:w="0" w:type="dxa"/>
        <w:right w:w="0" w:type="dxa"/>
      </w:tblCellMar>
    </w:tblPr>
  </w:style>
  <w:style w:type="character" w:customStyle="1" w:styleId="148">
    <w:name w:val="Unresolved Mention"/>
    <w:basedOn w:val="37"/>
    <w:unhideWhenUsed/>
    <w:qFormat/>
    <w:uiPriority w:val="99"/>
    <w:rPr>
      <w:color w:val="605E5C"/>
      <w:shd w:val="clear" w:color="auto" w:fill="E1DFDD"/>
    </w:rPr>
  </w:style>
  <w:style w:type="paragraph" w:customStyle="1" w:styleId="149">
    <w:name w:val="TOC Heading"/>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32B03F-0224-4634-9F40-628C0143AF6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Pages>
  <Words>1039</Words>
  <Characters>5926</Characters>
  <Lines>49</Lines>
  <Paragraphs>13</Paragraphs>
  <TotalTime>2</TotalTime>
  <ScaleCrop>false</ScaleCrop>
  <LinksUpToDate>false</LinksUpToDate>
  <CharactersWithSpaces>6952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2020-03-18T11:37:00Z</dcterms:created>
  <dc:creator>K2450</dc:creator>
  <cp:lastModifiedBy>Administrator</cp:lastModifiedBy>
  <cp:lastPrinted>2018-03-01T03:24:00Z</cp:lastPrinted>
  <dcterms:modified xsi:type="dcterms:W3CDTF">2021-04-19T03:39:17Z</dcterms:modified>
  <dc:title>政府部门财务报告编制操作指南</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