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黑体" w:cs="Times New Roman"/>
          <w:sz w:val="32"/>
          <w:szCs w:val="32"/>
        </w:rPr>
      </w:pPr>
      <w:r>
        <w:rPr>
          <w:rStyle w:val="6"/>
          <w:rFonts w:ascii="Times New Roman" w:hAnsi="Times New Roman" w:eastAsia="黑体" w:cs="Times New Roman"/>
          <w:sz w:val="32"/>
          <w:szCs w:val="32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6"/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防止返贫监测承诺授权书（样本）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 w:color="000000"/>
        </w:rPr>
        <w:t xml:space="preserve"> 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村委会：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>我家住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组（自然村），家庭人口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人，其中有劳动能力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人。家庭人均纯收入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元，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因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原因出现了致贫（返贫）风险，通过（□手机APP申报  □12317服务热线申报  □线下自主申报  □基层干部排查  □部门数据筛查  □社会信息反馈）的方式，成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为防止返贫监测对象。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>我承诺提供的家庭情况、资产信息等真实准确，同意授权政府部门查询比对我的家庭财产信息。如有故意隐瞒或提供虚假、伪造材料等违规行为，本人愿意承担一切后果。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 xml:space="preserve">                          户主签字：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 xml:space="preserve">              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　　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　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黑体" w:cs="Times New Roman"/>
          <w:sz w:val="32"/>
          <w:szCs w:val="32"/>
        </w:rPr>
      </w:pPr>
      <w:r>
        <w:rPr>
          <w:rStyle w:val="6"/>
          <w:rFonts w:ascii="Times New Roman" w:hAnsi="Times New Roman" w:eastAsia="黑体" w:cs="Times New Roman"/>
          <w:sz w:val="32"/>
          <w:szCs w:val="32"/>
        </w:rPr>
        <w:br w:type="page"/>
      </w:r>
      <w:r>
        <w:rPr>
          <w:rStyle w:val="6"/>
          <w:rFonts w:ascii="Times New Roman" w:hAnsi="Times New Roman" w:eastAsia="黑体" w:cs="Times New Roman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6"/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监测对象纳入</w:t>
      </w:r>
      <w:r>
        <w:rPr>
          <w:rStyle w:val="6"/>
          <w:rFonts w:hint="eastAsia" w:ascii="Times New Roman" w:hAnsi="Times New Roman" w:eastAsia="方正小标宋简体" w:cs="Times New Roman"/>
          <w:sz w:val="44"/>
          <w:szCs w:val="44"/>
        </w:rPr>
        <w:t>一次公示</w:t>
      </w: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（样本）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>我村于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日召开村民代表会议（实际参会代表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人），评议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户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人通过村级初选，同意纳入防止返贫监测对象。现予公示，如有异议，请自即日起5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个工作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日内向村委会提出意见。</w:t>
      </w:r>
    </w:p>
    <w:tbl>
      <w:tblPr>
        <w:tblStyle w:val="4"/>
        <w:tblW w:w="894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498"/>
        <w:gridCol w:w="1828"/>
        <w:gridCol w:w="2210"/>
        <w:gridCol w:w="25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户主姓名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家庭人口数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返贫致贫风险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民主评议得票数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…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>监督电话：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 w:color="000000"/>
        </w:rPr>
        <w:t>12317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（防止返贫监测和乡村振兴咨询热线）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村委会）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 xml:space="preserve">       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村委会（盖章）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 xml:space="preserve">                 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>　　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　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黑体" w:cs="Times New Roman"/>
          <w:sz w:val="32"/>
          <w:szCs w:val="32"/>
        </w:rPr>
      </w:pPr>
      <w:r>
        <w:rPr>
          <w:rStyle w:val="6"/>
          <w:rFonts w:ascii="Times New Roman" w:hAnsi="Times New Roman" w:eastAsia="黑体" w:cs="Times New Roman"/>
          <w:sz w:val="32"/>
          <w:szCs w:val="32"/>
        </w:rPr>
        <w:t>附件</w:t>
      </w:r>
      <w:r>
        <w:rPr>
          <w:rStyle w:val="6"/>
          <w:rFonts w:hint="eastAsia" w:ascii="Times New Roman" w:hAnsi="Times New Roman" w:eastAsia="黑体" w:cs="Times New Roman"/>
          <w:sz w:val="32"/>
          <w:szCs w:val="32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6"/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监测对象纳入</w:t>
      </w:r>
      <w:r>
        <w:rPr>
          <w:rStyle w:val="6"/>
          <w:rFonts w:hint="eastAsia" w:ascii="Times New Roman" w:hAnsi="Times New Roman" w:eastAsia="方正小标宋简体" w:cs="Times New Roman"/>
          <w:sz w:val="44"/>
          <w:szCs w:val="44"/>
        </w:rPr>
        <w:t>二次公示</w:t>
      </w: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（样本）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经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旗乡村振兴部门联合相关行业部门审定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同意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镇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村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户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人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纳入防止返贫监测对象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，进行监测和帮扶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。现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进行二次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公示，如有异议，请自即日起5个工作日内提出意见。</w:t>
      </w:r>
    </w:p>
    <w:tbl>
      <w:tblPr>
        <w:tblStyle w:val="4"/>
        <w:tblW w:w="87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2062"/>
        <w:gridCol w:w="2516"/>
        <w:gridCol w:w="30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户主姓名</w:t>
            </w: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家庭人口数</w:t>
            </w: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返贫致贫风险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…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>监督电话：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 w:color="000000"/>
        </w:rPr>
        <w:t>12317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（防止返贫监测和乡村振兴咨询热线）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 xml:space="preserve">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旗乡村振兴局）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镇）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村委会）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 xml:space="preserve">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旗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乡村振兴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部门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 xml:space="preserve">                 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>　　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　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黑体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br w:type="page"/>
      </w:r>
      <w:r>
        <w:rPr>
          <w:rStyle w:val="6"/>
          <w:rFonts w:ascii="Times New Roman" w:hAnsi="Times New Roman" w:eastAsia="黑体" w:cs="Times New Roman"/>
          <w:sz w:val="32"/>
          <w:szCs w:val="32"/>
        </w:rPr>
        <w:t>附件</w:t>
      </w:r>
      <w:r>
        <w:rPr>
          <w:rStyle w:val="6"/>
          <w:rFonts w:hint="eastAsia" w:ascii="Times New Roman" w:hAnsi="Times New Roman" w:eastAsia="黑体" w:cs="Times New Roman"/>
          <w:sz w:val="32"/>
          <w:szCs w:val="32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6"/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监测对象风险消除</w:t>
      </w:r>
      <w:r>
        <w:rPr>
          <w:rStyle w:val="6"/>
          <w:rFonts w:hint="eastAsia" w:ascii="Times New Roman" w:hAnsi="Times New Roman" w:eastAsia="方正小标宋简体" w:cs="Times New Roman"/>
          <w:sz w:val="44"/>
          <w:szCs w:val="44"/>
        </w:rPr>
        <w:t>一次公示</w:t>
      </w: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（样本）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>我村于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日召开村民代表会议（实际参会代表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人），评议防止返贫监测对象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户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人达到风险消除标准，通过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村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初选，同意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标注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风险消除。现予公示，如有异议，请自即日起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5个工作日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内向村委会提出意见。</w:t>
      </w:r>
    </w:p>
    <w:tbl>
      <w:tblPr>
        <w:tblStyle w:val="4"/>
        <w:tblW w:w="89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1490"/>
        <w:gridCol w:w="1083"/>
        <w:gridCol w:w="1917"/>
        <w:gridCol w:w="2066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户主姓名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家庭人口数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返贫致贫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风险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帮扶措施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民主评议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得票数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…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>监督电话：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 w:color="000000"/>
        </w:rPr>
        <w:t>12317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（防止返贫监测和乡村振兴咨询热线）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村委会）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 xml:space="preserve">         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村委会（盖章）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 xml:space="preserve">                 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>　　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　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黑体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br w:type="page"/>
      </w:r>
      <w:r>
        <w:rPr>
          <w:rStyle w:val="6"/>
          <w:rFonts w:ascii="Times New Roman" w:hAnsi="Times New Roman" w:eastAsia="黑体" w:cs="Times New Roman"/>
          <w:sz w:val="32"/>
          <w:szCs w:val="32"/>
        </w:rPr>
        <w:t>附件</w:t>
      </w:r>
      <w:r>
        <w:rPr>
          <w:rStyle w:val="6"/>
          <w:rFonts w:hint="eastAsia" w:ascii="Times New Roman" w:hAnsi="Times New Roman" w:eastAsia="黑体" w:cs="Times New Roman"/>
          <w:sz w:val="32"/>
          <w:szCs w:val="32"/>
        </w:rPr>
        <w:t>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6"/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监测对象风险消除验收表（样表）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1400" w:firstLineChars="500"/>
        <w:jc w:val="both"/>
        <w:textAlignment w:val="baseline"/>
        <w:rPr>
          <w:rStyle w:val="6"/>
          <w:rFonts w:ascii="Times New Roman" w:hAnsi="Times New Roman" w:eastAsia="楷体_GB2312" w:cs="Times New Roman"/>
          <w:sz w:val="32"/>
          <w:szCs w:val="32"/>
        </w:rPr>
      </w:pPr>
      <w:r>
        <w:rPr>
          <w:rStyle w:val="6"/>
          <w:rFonts w:ascii="Times New Roman" w:hAnsi="Times New Roman" w:eastAsia="楷体_GB2312" w:cs="Times New Roman"/>
          <w:sz w:val="28"/>
          <w:szCs w:val="28"/>
          <w:u w:val="single" w:color="000000"/>
        </w:rPr>
        <w:t xml:space="preserve">    </w:t>
      </w:r>
      <w:r>
        <w:rPr>
          <w:rStyle w:val="6"/>
          <w:rFonts w:hint="eastAsia" w:ascii="Times New Roman" w:hAnsi="Times New Roman" w:eastAsia="楷体_GB2312" w:cs="Times New Roman"/>
          <w:sz w:val="28"/>
          <w:szCs w:val="28"/>
          <w:u w:val="single" w:color="000000"/>
        </w:rPr>
        <w:t xml:space="preserve"> </w:t>
      </w:r>
      <w:r>
        <w:rPr>
          <w:rStyle w:val="6"/>
          <w:rFonts w:hint="eastAsia" w:ascii="Times New Roman" w:hAnsi="Times New Roman" w:eastAsia="楷体_GB2312" w:cs="Times New Roman"/>
          <w:sz w:val="28"/>
          <w:szCs w:val="28"/>
          <w:u w:val="single" w:color="000000"/>
          <w:lang w:val="en-US" w:eastAsia="zh-CN"/>
        </w:rPr>
        <w:t xml:space="preserve">  </w:t>
      </w:r>
      <w:r>
        <w:rPr>
          <w:rStyle w:val="6"/>
          <w:rFonts w:hint="eastAsia" w:ascii="Times New Roman" w:hAnsi="Times New Roman" w:eastAsia="楷体_GB2312" w:cs="Times New Roman"/>
          <w:sz w:val="28"/>
          <w:szCs w:val="28"/>
        </w:rPr>
        <w:t>旗</w:t>
      </w:r>
      <w:r>
        <w:rPr>
          <w:rStyle w:val="6"/>
          <w:rFonts w:ascii="Times New Roman" w:hAnsi="Times New Roman" w:eastAsia="楷体_GB2312" w:cs="Times New Roman"/>
          <w:sz w:val="28"/>
          <w:szCs w:val="28"/>
          <w:u w:val="single" w:color="000000"/>
        </w:rPr>
        <w:t xml:space="preserve">   </w:t>
      </w:r>
      <w:r>
        <w:rPr>
          <w:rStyle w:val="6"/>
          <w:rFonts w:hint="eastAsia" w:ascii="Times New Roman" w:hAnsi="Times New Roman" w:eastAsia="楷体_GB2312" w:cs="Times New Roman"/>
          <w:sz w:val="28"/>
          <w:szCs w:val="28"/>
          <w:u w:val="single" w:color="000000"/>
        </w:rPr>
        <w:t xml:space="preserve">  </w:t>
      </w:r>
      <w:r>
        <w:rPr>
          <w:rStyle w:val="6"/>
          <w:rFonts w:hint="eastAsia" w:ascii="Times New Roman" w:hAnsi="Times New Roman" w:eastAsia="楷体_GB2312" w:cs="Times New Roman"/>
          <w:sz w:val="28"/>
          <w:szCs w:val="28"/>
          <w:u w:val="single" w:color="000000"/>
          <w:lang w:val="en-US" w:eastAsia="zh-CN"/>
        </w:rPr>
        <w:t xml:space="preserve">  </w:t>
      </w:r>
      <w:r>
        <w:rPr>
          <w:rStyle w:val="6"/>
          <w:rFonts w:ascii="Times New Roman" w:hAnsi="Times New Roman" w:eastAsia="楷体_GB2312" w:cs="Times New Roman"/>
          <w:sz w:val="28"/>
          <w:szCs w:val="28"/>
        </w:rPr>
        <w:t>镇</w:t>
      </w:r>
      <w:r>
        <w:rPr>
          <w:rStyle w:val="6"/>
          <w:rFonts w:ascii="Times New Roman" w:hAnsi="Times New Roman" w:eastAsia="楷体_GB2312" w:cs="Times New Roman"/>
          <w:sz w:val="28"/>
          <w:szCs w:val="28"/>
          <w:u w:val="single" w:color="000000"/>
        </w:rPr>
        <w:t xml:space="preserve">   </w:t>
      </w:r>
      <w:r>
        <w:rPr>
          <w:rStyle w:val="6"/>
          <w:rFonts w:hint="eastAsia" w:ascii="Times New Roman" w:hAnsi="Times New Roman" w:eastAsia="楷体_GB2312" w:cs="Times New Roman"/>
          <w:sz w:val="28"/>
          <w:szCs w:val="28"/>
          <w:u w:val="single" w:color="000000"/>
          <w:lang w:val="en-US" w:eastAsia="zh-CN"/>
        </w:rPr>
        <w:t xml:space="preserve">    </w:t>
      </w:r>
      <w:r>
        <w:rPr>
          <w:rStyle w:val="6"/>
          <w:rFonts w:hint="eastAsia" w:ascii="Times New Roman" w:hAnsi="Times New Roman" w:eastAsia="楷体_GB2312" w:cs="Times New Roman"/>
          <w:sz w:val="28"/>
          <w:szCs w:val="28"/>
        </w:rPr>
        <w:t>村</w:t>
      </w:r>
      <w:r>
        <w:rPr>
          <w:rStyle w:val="6"/>
          <w:rFonts w:ascii="Times New Roman" w:hAnsi="Times New Roman" w:eastAsia="楷体_GB2312" w:cs="Times New Roman"/>
          <w:sz w:val="28"/>
          <w:szCs w:val="28"/>
          <w:u w:val="single" w:color="000000"/>
        </w:rPr>
        <w:t xml:space="preserve">   </w:t>
      </w:r>
      <w:r>
        <w:rPr>
          <w:rStyle w:val="6"/>
          <w:rFonts w:hint="eastAsia" w:ascii="Times New Roman" w:hAnsi="Times New Roman" w:eastAsia="楷体_GB2312" w:cs="Times New Roman"/>
          <w:sz w:val="28"/>
          <w:szCs w:val="28"/>
          <w:u w:val="single" w:color="000000"/>
          <w:lang w:val="en-US" w:eastAsia="zh-CN"/>
        </w:rPr>
        <w:t xml:space="preserve">  </w:t>
      </w:r>
      <w:r>
        <w:rPr>
          <w:rStyle w:val="6"/>
          <w:rFonts w:ascii="Times New Roman" w:hAnsi="Times New Roman" w:eastAsia="楷体_GB2312" w:cs="Times New Roman"/>
          <w:sz w:val="28"/>
          <w:szCs w:val="28"/>
        </w:rPr>
        <w:t>组（自然村）</w:t>
      </w:r>
    </w:p>
    <w:tbl>
      <w:tblPr>
        <w:tblStyle w:val="4"/>
        <w:tblW w:w="95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"/>
        <w:gridCol w:w="1269"/>
        <w:gridCol w:w="247"/>
        <w:gridCol w:w="1120"/>
        <w:gridCol w:w="1367"/>
        <w:gridCol w:w="300"/>
        <w:gridCol w:w="1676"/>
        <w:gridCol w:w="1198"/>
        <w:gridCol w:w="243"/>
        <w:gridCol w:w="17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一、基础信息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户主姓名</w:t>
            </w: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1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人均纯收入（元）</w:t>
            </w:r>
          </w:p>
        </w:tc>
        <w:tc>
          <w:tcPr>
            <w:tcW w:w="65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right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楷体_GB2312" w:cs="Times New Roman"/>
                <w:sz w:val="24"/>
              </w:rPr>
              <w:t>（以验收当月倒推连续12个月计）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9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监测对象类别</w:t>
            </w:r>
          </w:p>
        </w:tc>
        <w:tc>
          <w:tcPr>
            <w:tcW w:w="76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脱贫不稳定户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边缘易致贫户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突发严重困难户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二、返贫致贫风险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因病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因学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因残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因自然灾害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因意外事故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因产业项目失败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因务工就业不稳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缺劳动力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其他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  <w:u w:val="single" w:color="000000"/>
              </w:rPr>
              <w:t xml:space="preserve">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三、帮扶措施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增收类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产业帮扶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就业帮扶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金融帮扶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公益岗位帮扶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“三保障”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和饮水安全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类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住房安全保障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饮水安全保障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健康帮扶（</w:t>
            </w:r>
            <w:r>
              <w:rPr>
                <w:rStyle w:val="6"/>
                <w:rFonts w:ascii="Times New Roman" w:hAnsi="Times New Roman" w:eastAsia="仿宋_GB2312" w:cs="Times New Roman"/>
                <w:sz w:val="24"/>
              </w:rPr>
              <w:t>含医保个人缴费补贴、大病保险、医疗救助等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义务教育保障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教育帮扶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兜底保障类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综合保障（</w:t>
            </w:r>
            <w:r>
              <w:rPr>
                <w:rStyle w:val="6"/>
                <w:rFonts w:ascii="Times New Roman" w:hAnsi="Times New Roman" w:eastAsia="仿宋_GB2312" w:cs="Times New Roman"/>
                <w:sz w:val="24"/>
              </w:rPr>
              <w:t>含低保、特困，临时救助、残疾人补贴、防贫保险等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其他类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社会帮扶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搬迁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生产生活条件改善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基础设施建设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四、风险消除指标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71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根据返贫致贫风险原因落实了对应的帮扶措施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是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71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“两不愁三保障”及饮水安全持续巩固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是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71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收入持续稳定，家庭人均纯收入稳定超出当地当年度收入监测范围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是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71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大额刚性支出问题稳定解决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 xml:space="preserve">是  </w:t>
            </w:r>
            <w:r>
              <w:rPr>
                <w:rStyle w:val="6"/>
                <w:rFonts w:hint="eastAsia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户主签字（同意标注消除风险，不再监测帮扶）</w:t>
            </w: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  <w:u w:val="single" w:color="000000"/>
              </w:rPr>
              <w:t xml:space="preserve">         </w:t>
            </w: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  <w:jc w:val="center"/>
        </w:trPr>
        <w:tc>
          <w:tcPr>
            <w:tcW w:w="46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村干部签字</w:t>
            </w: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  <w:u w:val="single" w:color="000000"/>
              </w:rPr>
              <w:t xml:space="preserve">          </w:t>
            </w:r>
          </w:p>
        </w:tc>
        <w:tc>
          <w:tcPr>
            <w:tcW w:w="48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镇干部签字</w:t>
            </w: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  <w:u w:val="single" w:color="000000"/>
              </w:rPr>
              <w:t xml:space="preserve">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  <w:jc w:val="center"/>
        </w:trPr>
        <w:tc>
          <w:tcPr>
            <w:tcW w:w="46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监测联系人签字</w:t>
            </w: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  <w:u w:val="single" w:color="000000"/>
              </w:rPr>
              <w:t xml:space="preserve">          </w:t>
            </w:r>
          </w:p>
        </w:tc>
        <w:tc>
          <w:tcPr>
            <w:tcW w:w="48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验收时间</w:t>
            </w: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  <w:u w:val="single" w:color="000000"/>
              </w:rPr>
              <w:t xml:space="preserve">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黑体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br w:type="page"/>
      </w:r>
      <w:r>
        <w:rPr>
          <w:rStyle w:val="6"/>
          <w:rFonts w:ascii="Times New Roman" w:hAnsi="Times New Roman" w:eastAsia="黑体" w:cs="Times New Roman"/>
          <w:sz w:val="32"/>
          <w:szCs w:val="32"/>
        </w:rPr>
        <w:t>附件</w:t>
      </w:r>
      <w:r>
        <w:rPr>
          <w:rStyle w:val="6"/>
          <w:rFonts w:hint="eastAsia" w:ascii="Times New Roman" w:hAnsi="Times New Roman" w:eastAsia="黑体" w:cs="Times New Roman"/>
          <w:sz w:val="32"/>
          <w:szCs w:val="32"/>
        </w:rPr>
        <w:t>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6"/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监测对象风险消除</w:t>
      </w:r>
      <w:r>
        <w:rPr>
          <w:rStyle w:val="6"/>
          <w:rFonts w:hint="eastAsia" w:ascii="Times New Roman" w:hAnsi="Times New Roman" w:eastAsia="方正小标宋简体" w:cs="Times New Roman"/>
          <w:sz w:val="44"/>
          <w:szCs w:val="44"/>
        </w:rPr>
        <w:t>二次公示</w:t>
      </w:r>
      <w:r>
        <w:rPr>
          <w:rStyle w:val="6"/>
          <w:rFonts w:ascii="Times New Roman" w:hAnsi="Times New Roman" w:eastAsia="方正小标宋简体" w:cs="Times New Roman"/>
          <w:sz w:val="44"/>
          <w:szCs w:val="44"/>
        </w:rPr>
        <w:t>（样本）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>经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旗乡村振兴部门联合相关行业部门审定，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确定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镇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村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户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人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通过帮扶和自身发展致贫返贫风险已消除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符合风险消除标准，同意标注消除风险，不再享受监测对象相关帮扶政策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。现进行二次公示，如有异议，请自即日起5个工作日内提出意见。</w:t>
      </w:r>
    </w:p>
    <w:tbl>
      <w:tblPr>
        <w:tblStyle w:val="4"/>
        <w:tblW w:w="884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6"/>
        <w:gridCol w:w="1860"/>
        <w:gridCol w:w="1319"/>
        <w:gridCol w:w="1484"/>
        <w:gridCol w:w="32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户主姓名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家庭人口数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返贫致贫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风险</w:t>
            </w:r>
          </w:p>
        </w:tc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黑体" w:cs="Times New Roman"/>
                <w:sz w:val="28"/>
                <w:szCs w:val="28"/>
              </w:rPr>
              <w:t>帮扶措施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  <w:t>…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6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</w:rPr>
        <w:t>监督电话：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 w:color="000000"/>
        </w:rPr>
        <w:t>12317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（防止返贫监测和乡村振兴咨询热线）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 xml:space="preserve">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旗乡村振兴局）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镇）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</w:pP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村委会）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jc w:val="right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</w:pP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旗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乡村振兴</w:t>
      </w:r>
      <w:r>
        <w:rPr>
          <w:rStyle w:val="6"/>
          <w:rFonts w:hint="eastAsia" w:ascii="Times New Roman" w:hAnsi="Times New Roman" w:eastAsia="仿宋_GB2312" w:cs="Times New Roman"/>
          <w:sz w:val="32"/>
          <w:szCs w:val="32"/>
        </w:rPr>
        <w:t>部门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4480" w:firstLineChars="1400"/>
        <w:jc w:val="both"/>
        <w:textAlignment w:val="baseline"/>
        <w:rPr>
          <w:rStyle w:val="6"/>
          <w:rFonts w:ascii="Times New Roman" w:hAnsi="Times New Roman" w:eastAsia="仿宋_GB2312" w:cs="Times New Roman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155" w:right="1588" w:bottom="1985" w:left="1531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>　　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6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　</w:t>
      </w:r>
      <w:r>
        <w:rPr>
          <w:rStyle w:val="6"/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  <w:rPr>
          <w:rStyle w:val="6"/>
          <w:rFonts w:ascii="Times New Roman" w:hAnsi="Times New Roman" w:eastAsia="黑体" w:cs="Times New Roman"/>
          <w:sz w:val="32"/>
          <w:szCs w:val="32"/>
        </w:rPr>
      </w:pPr>
      <w:r>
        <w:rPr>
          <w:rStyle w:val="6"/>
          <w:rFonts w:hint="eastAsia" w:ascii="Times New Roman" w:hAnsi="Times New Roman" w:eastAsia="黑体" w:cs="Times New Roman"/>
          <w:sz w:val="32"/>
          <w:szCs w:val="32"/>
        </w:rPr>
        <w:t>附件7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rPr>
          <w:rFonts w:ascii="方正小标宋简体" w:hAnsi="方正小标宋简体" w:eastAsia="方正小标宋简体" w:cs="方正小标宋简体"/>
          <w:sz w:val="44"/>
          <w:szCs w:val="7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72"/>
        </w:rPr>
        <w:t>防止返贫监测对象信息采集表</w:t>
      </w:r>
    </w:p>
    <w:tbl>
      <w:tblPr>
        <w:tblStyle w:val="4"/>
        <w:tblW w:w="9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"/>
        <w:gridCol w:w="344"/>
        <w:gridCol w:w="132"/>
        <w:gridCol w:w="236"/>
        <w:gridCol w:w="119"/>
        <w:gridCol w:w="204"/>
        <w:gridCol w:w="340"/>
        <w:gridCol w:w="304"/>
        <w:gridCol w:w="49"/>
        <w:gridCol w:w="187"/>
        <w:gridCol w:w="179"/>
        <w:gridCol w:w="92"/>
        <w:gridCol w:w="321"/>
        <w:gridCol w:w="242"/>
        <w:gridCol w:w="193"/>
        <w:gridCol w:w="57"/>
        <w:gridCol w:w="169"/>
        <w:gridCol w:w="169"/>
        <w:gridCol w:w="359"/>
        <w:gridCol w:w="59"/>
        <w:gridCol w:w="142"/>
        <w:gridCol w:w="236"/>
        <w:gridCol w:w="53"/>
        <w:gridCol w:w="417"/>
        <w:gridCol w:w="236"/>
        <w:gridCol w:w="178"/>
        <w:gridCol w:w="124"/>
        <w:gridCol w:w="236"/>
        <w:gridCol w:w="341"/>
        <w:gridCol w:w="479"/>
        <w:gridCol w:w="301"/>
        <w:gridCol w:w="120"/>
        <w:gridCol w:w="236"/>
        <w:gridCol w:w="660"/>
        <w:gridCol w:w="481"/>
        <w:gridCol w:w="182"/>
        <w:gridCol w:w="267"/>
        <w:gridCol w:w="2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6871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b/>
                <w:sz w:val="21"/>
                <w:szCs w:val="21"/>
              </w:rPr>
            </w:pPr>
          </w:p>
        </w:tc>
        <w:tc>
          <w:tcPr>
            <w:tcW w:w="218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b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b/>
                <w:kern w:val="0"/>
                <w:sz w:val="21"/>
                <w:szCs w:val="21"/>
              </w:rPr>
              <w:t>填报日期: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b/>
                <w:bCs/>
                <w:kern w:val="0"/>
                <w:sz w:val="21"/>
                <w:szCs w:val="21"/>
              </w:rPr>
              <w:t>一、基本信息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center"/>
              <w:rPr>
                <w:rStyle w:val="8"/>
                <w:rFonts w:hAnsi="宋体"/>
                <w:color w:val="auto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家庭住址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：内蒙古自治区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u w:val="single"/>
              </w:rPr>
              <w:t xml:space="preserve">        </w:t>
            </w:r>
            <w:r>
              <w:rPr>
                <w:rStyle w:val="8"/>
                <w:rFonts w:hint="eastAsia" w:hAnsi="宋体"/>
                <w:color w:val="auto"/>
                <w:sz w:val="21"/>
                <w:szCs w:val="21"/>
              </w:rPr>
              <w:t>盟市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    </w:t>
            </w:r>
            <w:r>
              <w:rPr>
                <w:rStyle w:val="9"/>
                <w:rFonts w:hint="eastAsia" w:hAnsi="宋体"/>
                <w:color w:val="auto"/>
                <w:sz w:val="21"/>
                <w:szCs w:val="21"/>
              </w:rPr>
              <w:t xml:space="preserve">  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旗县（市、区）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  </w:t>
            </w:r>
            <w:r>
              <w:rPr>
                <w:rStyle w:val="9"/>
                <w:rFonts w:hint="eastAsia" w:hAnsi="宋体"/>
                <w:color w:val="auto"/>
                <w:sz w:val="21"/>
                <w:szCs w:val="21"/>
              </w:rPr>
              <w:t xml:space="preserve">      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苏木（乡</w:t>
            </w:r>
            <w:r>
              <w:rPr>
                <w:rStyle w:val="8"/>
                <w:rFonts w:hint="eastAsia" w:hAnsi="宋体"/>
                <w:color w:val="auto"/>
                <w:sz w:val="21"/>
                <w:szCs w:val="21"/>
              </w:rPr>
              <w:t>、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镇、街道）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  </w:t>
            </w:r>
            <w:r>
              <w:rPr>
                <w:rStyle w:val="9"/>
                <w:rFonts w:hint="eastAsia" w:hAnsi="宋体"/>
                <w:color w:val="auto"/>
                <w:sz w:val="21"/>
                <w:szCs w:val="21"/>
              </w:rPr>
              <w:t xml:space="preserve">    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嘎查村（社区）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      </w:t>
            </w:r>
            <w:r>
              <w:rPr>
                <w:rStyle w:val="9"/>
                <w:rFonts w:hint="eastAsia" w:hAnsi="宋体"/>
                <w:color w:val="auto"/>
                <w:sz w:val="21"/>
                <w:szCs w:val="21"/>
              </w:rPr>
              <w:t xml:space="preserve">  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 xml:space="preserve">自然村（村民小组）      </w:t>
            </w:r>
            <w:r>
              <w:rPr>
                <w:rStyle w:val="8"/>
                <w:rFonts w:hint="eastAsia" w:hAnsi="宋体"/>
                <w:color w:val="auto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联系电话：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A1 居住在大中型易地扶贫搬迁集中安置区（800人以上）：  □是 □否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A2 安置区地址：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内蒙古自治区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u w:val="single"/>
              </w:rPr>
              <w:t xml:space="preserve">         </w:t>
            </w:r>
            <w:r>
              <w:rPr>
                <w:rStyle w:val="8"/>
                <w:rFonts w:hint="eastAsia" w:hAnsi="宋体"/>
                <w:color w:val="auto"/>
                <w:sz w:val="21"/>
                <w:szCs w:val="21"/>
              </w:rPr>
              <w:t>盟市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    </w:t>
            </w:r>
            <w:r>
              <w:rPr>
                <w:rStyle w:val="9"/>
                <w:rFonts w:hint="eastAsia" w:hAnsi="宋体"/>
                <w:color w:val="auto"/>
                <w:sz w:val="21"/>
                <w:szCs w:val="21"/>
              </w:rPr>
              <w:t xml:space="preserve">   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旗县（市、区）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  </w:t>
            </w:r>
            <w:r>
              <w:rPr>
                <w:rStyle w:val="9"/>
                <w:rFonts w:hint="eastAsia" w:hAnsi="宋体"/>
                <w:color w:val="auto"/>
                <w:sz w:val="21"/>
                <w:szCs w:val="21"/>
              </w:rPr>
              <w:t xml:space="preserve">       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苏木（乡</w:t>
            </w:r>
            <w:r>
              <w:rPr>
                <w:rStyle w:val="8"/>
                <w:rFonts w:hint="eastAsia" w:hAnsi="宋体"/>
                <w:color w:val="auto"/>
                <w:sz w:val="21"/>
                <w:szCs w:val="21"/>
              </w:rPr>
              <w:t>、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镇）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  </w:t>
            </w:r>
            <w:r>
              <w:rPr>
                <w:rStyle w:val="9"/>
                <w:rFonts w:hint="eastAsia" w:hAnsi="宋体"/>
                <w:color w:val="auto"/>
                <w:sz w:val="21"/>
                <w:szCs w:val="21"/>
              </w:rPr>
              <w:t xml:space="preserve">       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嘎查村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   </w:t>
            </w:r>
            <w:r>
              <w:rPr>
                <w:rStyle w:val="9"/>
                <w:rFonts w:hint="eastAsia" w:hAnsi="宋体"/>
                <w:color w:val="auto"/>
                <w:sz w:val="21"/>
                <w:szCs w:val="21"/>
              </w:rPr>
              <w:t xml:space="preserve">     </w:t>
            </w:r>
            <w:r>
              <w:rPr>
                <w:rStyle w:val="9"/>
                <w:rFonts w:hAnsi="宋体"/>
                <w:color w:val="auto"/>
                <w:sz w:val="21"/>
                <w:szCs w:val="21"/>
              </w:rPr>
              <w:t xml:space="preserve"> </w:t>
            </w:r>
            <w:r>
              <w:rPr>
                <w:rStyle w:val="8"/>
                <w:rFonts w:hAnsi="宋体"/>
                <w:color w:val="auto"/>
                <w:sz w:val="21"/>
                <w:szCs w:val="21"/>
              </w:rPr>
              <w:t>（小区）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A3 监测对象类别：□脱贫不稳定户  □边缘易致贫户  □突发严重困难户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 xml:space="preserve">   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A4 脱贫户（身份证比对生成）： □是 □否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b/>
                <w:bCs/>
                <w:kern w:val="0"/>
                <w:sz w:val="21"/>
                <w:szCs w:val="21"/>
              </w:rPr>
              <w:t>二、家庭成员信息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序号</w:t>
            </w: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A5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姓名</w:t>
            </w:r>
          </w:p>
        </w:tc>
        <w:tc>
          <w:tcPr>
            <w:tcW w:w="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A6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性别</w:t>
            </w:r>
          </w:p>
        </w:tc>
        <w:tc>
          <w:tcPr>
            <w:tcW w:w="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A7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居民身份证(残疾人证) 号码</w:t>
            </w:r>
          </w:p>
        </w:tc>
        <w:tc>
          <w:tcPr>
            <w:tcW w:w="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A8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与户主关系</w:t>
            </w:r>
          </w:p>
        </w:tc>
        <w:tc>
          <w:tcPr>
            <w:tcW w:w="3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A9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民族</w:t>
            </w:r>
          </w:p>
        </w:tc>
        <w:tc>
          <w:tcPr>
            <w:tcW w:w="4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A10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政治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面貌</w:t>
            </w: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A11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文化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程度</w:t>
            </w:r>
          </w:p>
        </w:tc>
        <w:tc>
          <w:tcPr>
            <w:tcW w:w="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A12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在校生状况</w:t>
            </w:r>
          </w:p>
        </w:tc>
        <w:tc>
          <w:tcPr>
            <w:tcW w:w="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A13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健康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状况</w:t>
            </w:r>
          </w:p>
        </w:tc>
        <w:tc>
          <w:tcPr>
            <w:tcW w:w="4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A14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劳动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技能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A15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务工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区域</w:t>
            </w: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A16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务工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时间</w:t>
            </w:r>
          </w:p>
        </w:tc>
        <w:tc>
          <w:tcPr>
            <w:tcW w:w="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A17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是否参加城乡居民（职工）基本医疗保险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A18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是否参加大病保险</w:t>
            </w:r>
          </w:p>
        </w:tc>
        <w:tc>
          <w:tcPr>
            <w:tcW w:w="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A19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是否参加城乡居民（职工）基本养老保险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A20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是否享受城乡居民最低生活保障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A21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是否特困供养人员</w:t>
            </w:r>
          </w:p>
        </w:tc>
        <w:tc>
          <w:tcPr>
            <w:tcW w:w="6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13"/>
                <w:szCs w:val="13"/>
              </w:rPr>
            </w:pP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A22</w:t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13"/>
                <w:szCs w:val="13"/>
              </w:rPr>
              <w:t>是否易地扶贫搬迁（同步搬迁）人口（系统比对）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1</w:t>
            </w: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户主</w:t>
            </w:r>
          </w:p>
        </w:tc>
        <w:tc>
          <w:tcPr>
            <w:tcW w:w="3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2</w:t>
            </w: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..</w:t>
            </w: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b/>
                <w:bCs/>
                <w:kern w:val="0"/>
                <w:sz w:val="21"/>
                <w:szCs w:val="21"/>
              </w:rPr>
              <w:t>三、三保障和饮水安全状况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A23 是否住房出现安全问题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□是 □否</w:t>
            </w:r>
          </w:p>
        </w:tc>
        <w:tc>
          <w:tcPr>
            <w:tcW w:w="179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A24 是否义务教育阶段适龄儿童少年失学辍学</w:t>
            </w:r>
          </w:p>
        </w:tc>
        <w:tc>
          <w:tcPr>
            <w:tcW w:w="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□是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□否</w:t>
            </w:r>
          </w:p>
        </w:tc>
        <w:tc>
          <w:tcPr>
            <w:tcW w:w="11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A25 是否饮水出现安全问题</w:t>
            </w:r>
          </w:p>
        </w:tc>
        <w:tc>
          <w:tcPr>
            <w:tcW w:w="5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□是 □否</w:t>
            </w:r>
          </w:p>
        </w:tc>
        <w:tc>
          <w:tcPr>
            <w:tcW w:w="28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A26 是否有家庭成员未参加城乡居民（职工）基本医疗保险（A17指标生成）</w:t>
            </w:r>
          </w:p>
        </w:tc>
        <w:tc>
          <w:tcPr>
            <w:tcW w:w="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□是 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b/>
                <w:bCs/>
                <w:kern w:val="0"/>
                <w:sz w:val="21"/>
                <w:szCs w:val="21"/>
              </w:rPr>
              <w:t>四、风险类型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A27 风险类型：□因病 □因学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因残 □因自然灾害 □因意外事故 □因产业项目失败 □因务工就业不稳 □缺劳动力 □其他（文字备注）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A27a 因自然灾害：□洪涝灾害 □地质灾害 □旱灾 □生物灾害（虫灾） □气象灾害 □地震灾害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 xml:space="preserve"> 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□其他（森林草原火灾、海洋灾害等）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b/>
                <w:bCs/>
                <w:kern w:val="0"/>
                <w:sz w:val="21"/>
                <w:szCs w:val="21"/>
              </w:rPr>
              <w:t>五、收支情况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A28 工资性收入（元）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9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A29 生产经营性收入（元）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8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A30 财产性收入（元）</w:t>
            </w:r>
          </w:p>
        </w:tc>
        <w:tc>
          <w:tcPr>
            <w:tcW w:w="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A31 转移性收入（元）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0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A32 生产经营性支出（元）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2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A33 家庭纯收入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（系统生成）（元）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A34 家庭人均纯收入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（系统生成）（元）</w:t>
            </w: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A35 理赔收入（元）</w:t>
            </w:r>
          </w:p>
        </w:tc>
        <w:tc>
          <w:tcPr>
            <w:tcW w:w="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0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A36 合规自付支出（元）</w:t>
            </w:r>
          </w:p>
        </w:tc>
        <w:tc>
          <w:tcPr>
            <w:tcW w:w="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214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A37 纳入监测对象的收入参考范围（系统生成）（元）</w:t>
            </w:r>
          </w:p>
        </w:tc>
        <w:tc>
          <w:tcPr>
            <w:tcW w:w="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22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A38 纳入监测对象的人均收入参考范围（系统生成）（元）</w:t>
            </w:r>
          </w:p>
        </w:tc>
        <w:tc>
          <w:tcPr>
            <w:tcW w:w="6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b/>
                <w:bCs/>
                <w:kern w:val="0"/>
                <w:sz w:val="21"/>
                <w:szCs w:val="21"/>
              </w:rPr>
              <w:t>六、帮扶措施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84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增收类</w:t>
            </w: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A39 产业帮扶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□种植业  □林果业  □养殖业  □加工业  □乡村旅游  □消费帮扶  □其他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A40 就业帮扶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□技能培训  □劳务输出  □外出务工补贴  □以工代赈  □经营主体就业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A41 金融帮扶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□小额信贷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A42 公益岗位帮扶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□护林员  □护草员  □保洁员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4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三保障和饮水安全类</w:t>
            </w: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A43 住房安全保障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□危房改造 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A44 饮水安全保障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A45 健康帮扶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□参加城乡居民基本医疗保险个人缴费补贴  □大病保险  □医疗救助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A46 义务教育保障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□劝返  □送教上门  □寄宿生生活补助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A47 教育帮扶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□雨露计划  □助学贷款  □助学金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11"/>
                <w:szCs w:val="11"/>
              </w:rPr>
              <w:t>兜底保障类</w:t>
            </w: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A48 综合保障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□低保 □特困供养 □临时救助 □残疾人补贴 □防贫保险 □其他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84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其他类</w:t>
            </w: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A49 社会帮扶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□社会捐助 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A50 搬迁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A51 生产生活条件改善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  <w:tc>
          <w:tcPr>
            <w:tcW w:w="1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A52 基础设施建设</w:t>
            </w:r>
          </w:p>
        </w:tc>
        <w:tc>
          <w:tcPr>
            <w:tcW w:w="6501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b/>
                <w:bCs/>
                <w:kern w:val="0"/>
                <w:sz w:val="21"/>
                <w:szCs w:val="21"/>
              </w:rPr>
              <w:t>七、风险消除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228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A53 风险消除方式</w:t>
            </w:r>
          </w:p>
        </w:tc>
        <w:tc>
          <w:tcPr>
            <w:tcW w:w="6772" w:type="dxa"/>
            <w:gridSpan w:val="2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□帮扶消除   □自然消除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28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A54 风险消除时间</w:t>
            </w:r>
          </w:p>
        </w:tc>
        <w:tc>
          <w:tcPr>
            <w:tcW w:w="6772" w:type="dxa"/>
            <w:gridSpan w:val="2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rPr>
                <w:rFonts w:ascii="仿宋_GB2312" w:hAnsi="宋体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9060" w:type="dxa"/>
            <w:gridSpan w:val="3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A55 监测联系人：                                                       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060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left"/>
              <w:textAlignment w:val="center"/>
              <w:rPr>
                <w:rFonts w:ascii="仿宋_GB2312" w:hAnsi="宋体" w:eastAsia="仿宋_GB2312" w:cs="仿宋_GB2312"/>
                <w:sz w:val="21"/>
                <w:szCs w:val="21"/>
              </w:rPr>
            </w:pP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   注：1、A33=A28+A29+A30+A31-A32    A37=A33+A35-A36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       2、A38是确定监测对象的参考，A34是区分前两类还是第三类对象的参考。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br w:type="textWrapping"/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       3、家庭成员如出现因病因灾因意外事故等刚性支出较大后，在识别监测对象过程中突发死亡，录入系统后将其标注为死亡。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idowControl/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extAlignment w:val="baseline"/>
      <w:rPr>
        <w:rStyle w:val="6"/>
        <w:rFonts w:ascii="Calibri" w:hAnsi="Calibri" w:eastAsia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80728"/>
    <w:rsid w:val="60D8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NormalCharacter"/>
    <w:semiHidden/>
    <w:qFormat/>
    <w:uiPriority w:val="0"/>
  </w:style>
  <w:style w:type="paragraph" w:customStyle="1" w:styleId="7">
    <w:name w:val="Body Text Indent 21"/>
    <w:basedOn w:val="1"/>
    <w:next w:val="2"/>
    <w:qFormat/>
    <w:uiPriority w:val="0"/>
    <w:pPr>
      <w:spacing w:after="120" w:line="480" w:lineRule="auto"/>
      <w:ind w:left="420" w:leftChars="200"/>
    </w:pPr>
  </w:style>
  <w:style w:type="character" w:customStyle="1" w:styleId="8">
    <w:name w:val="font31"/>
    <w:basedOn w:val="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2021-12-30T08:35:00Z</dcterms:created>
  <dc:creator>Ms_  琴  子 °</dc:creator>
  <cp:lastModifiedBy>Ms_  琴  子 °</cp:lastModifiedBy>
  <dcterms:modified xsi:type="dcterms:W3CDTF">2021-12-30T08:36:32Z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