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lang w:eastAsia="zh-CN"/>
        </w:rPr>
        <w:t>磴口县民委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一、总体情况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磴口县民委坚决贯彻落实《中华人民共和国政府信息公开条例》，包括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一是主动公开，民委按照条例要求各类主动公开信息共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25条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       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1160"/>
              </w:tabs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ab/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1160"/>
              </w:tabs>
              <w:spacing w:before="0" w:beforeAutospacing="0" w:after="0" w:afterAutospacing="0"/>
              <w:ind w:left="0" w:right="0"/>
              <w:jc w:val="left"/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432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五、存在的主要问题及改进情况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存在的问题：一些信息公开制度制定的还不够完善，信息公开的时效性有待进一步提高。下一步我委将完善信息公开制度，提高信息公开的时效性，做到时时有更新，处处有检查。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六、其他需要报告的事项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无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磴口县民族事务委员会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2021年12月30日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272AB"/>
    <w:rsid w:val="061272AB"/>
    <w:rsid w:val="0936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2021-12-30T04:46:00Z</dcterms:created>
  <dc:creator>Administrator</dc:creator>
  <cp:lastModifiedBy>Administrator</cp:lastModifiedBy>
  <dcterms:modified xsi:type="dcterms:W3CDTF">2021-12-30T09:20:43Z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5B62A2FE86D84292806CF996537A923E</vt:lpwstr>
  </property>
</Properties>
</file>