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pacing w:line="600" w:lineRule="exact"/>
        <w:jc w:val="center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</w:rPr>
      </w:pPr>
    </w:p>
    <w:p>
      <w:pPr>
        <w:widowControl/>
        <w:adjustRightInd w:val="0"/>
        <w:spacing w:line="600" w:lineRule="exact"/>
        <w:jc w:val="center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</w:rPr>
      </w:pPr>
    </w:p>
    <w:p>
      <w:pPr>
        <w:widowControl/>
        <w:adjustRightInd w:val="0"/>
        <w:spacing w:line="600" w:lineRule="exact"/>
        <w:jc w:val="center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</w:rPr>
      </w:pPr>
    </w:p>
    <w:p>
      <w:pPr>
        <w:widowControl/>
        <w:adjustRightInd w:val="0"/>
        <w:spacing w:line="600" w:lineRule="exact"/>
        <w:jc w:val="center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</w:rPr>
      </w:pPr>
    </w:p>
    <w:p>
      <w:pPr>
        <w:widowControl/>
        <w:adjustRightInd w:val="0"/>
        <w:spacing w:line="600" w:lineRule="exact"/>
        <w:jc w:val="center"/>
        <w:rPr>
          <w:rFonts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</w:rPr>
        <w:t>巴彦淖尔市民政局20</w:t>
      </w:r>
      <w:r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val="en-US" w:eastAsia="zh-CN"/>
        </w:rPr>
        <w:t>20</w:t>
      </w:r>
      <w:r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</w:rPr>
        <w:t>年政府信息公开</w:t>
      </w:r>
    </w:p>
    <w:p>
      <w:pPr>
        <w:widowControl/>
        <w:adjustRightInd w:val="0"/>
        <w:spacing w:line="600" w:lineRule="exact"/>
        <w:jc w:val="center"/>
        <w:rPr>
          <w:rFonts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</w:rPr>
        <w:t>工作年度报告</w:t>
      </w:r>
    </w:p>
    <w:p>
      <w:pPr>
        <w:widowControl/>
        <w:adjustRightInd w:val="0"/>
        <w:spacing w:line="600" w:lineRule="exact"/>
        <w:ind w:firstLine="640" w:firstLineChars="200"/>
        <w:rPr>
          <w:rFonts w:ascii="仿宋" w:hAnsi="仿宋" w:eastAsia="仿宋" w:cs="仿宋"/>
          <w:color w:val="333333"/>
          <w:kern w:val="0"/>
          <w:sz w:val="32"/>
          <w:szCs w:val="32"/>
        </w:rPr>
      </w:pPr>
    </w:p>
    <w:p>
      <w:pPr>
        <w:widowControl/>
        <w:adjustRightInd w:val="0"/>
        <w:spacing w:line="600" w:lineRule="exact"/>
        <w:ind w:firstLine="640" w:firstLineChars="200"/>
        <w:rPr>
          <w:rFonts w:ascii="仿宋_GB2312" w:hAnsi="仿宋" w:eastAsia="仿宋_GB2312" w:cs="仿宋"/>
          <w:color w:val="2F2F2F"/>
          <w:sz w:val="32"/>
          <w:szCs w:val="32"/>
        </w:rPr>
      </w:pP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</w:rPr>
        <w:t>根据《中华人民共和国政府信息公开条例》要求，现向社会公布巴彦淖尔市民政局20</w:t>
      </w: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  <w:lang w:val="en-US" w:eastAsia="zh-CN"/>
        </w:rPr>
        <w:t>20</w:t>
      </w:r>
      <w:bookmarkStart w:id="0" w:name="_GoBack"/>
      <w:bookmarkEnd w:id="0"/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</w:rPr>
        <w:t>年政府信息公开工作年度报告。</w:t>
      </w:r>
    </w:p>
    <w:p>
      <w:pPr>
        <w:widowControl/>
        <w:adjustRightInd w:val="0"/>
        <w:spacing w:line="600" w:lineRule="exact"/>
        <w:ind w:firstLine="640" w:firstLineChars="200"/>
        <w:rPr>
          <w:rFonts w:ascii="黑体" w:hAnsi="黑体" w:eastAsia="黑体" w:cs="黑体"/>
          <w:color w:val="2F2F2F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一、总体情况</w:t>
      </w:r>
    </w:p>
    <w:p>
      <w:pPr>
        <w:adjustRightInd w:val="0"/>
        <w:spacing w:line="600" w:lineRule="exact"/>
        <w:ind w:firstLine="640" w:firstLineChars="200"/>
        <w:rPr>
          <w:rFonts w:hint="default" w:ascii="仿宋_GB2312" w:hAnsi="仿宋" w:eastAsia="仿宋_GB2312" w:cs="仿宋"/>
          <w:color w:val="2F2F2F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</w:rPr>
        <w:t>20</w:t>
      </w: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</w:rPr>
        <w:t>年，</w:t>
      </w: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  <w:lang w:eastAsia="zh-CN"/>
        </w:rPr>
        <w:t>是决战决胜脱贫攻坚，全面建成小康社会的收官之年，又逢新冠肺炎疫情爆发，给信息公开工作提出更高要求。一年来，</w:t>
      </w: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</w:rPr>
        <w:t>在市委、政府的正确领导下，巴彦淖尔市民政局严格按照《</w:t>
      </w: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  <w:lang w:eastAsia="zh-CN"/>
        </w:rPr>
        <w:t>巴彦淖尔市</w:t>
      </w: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</w:rPr>
        <w:t>2020年政务公开工作要点》文件精神，</w:t>
      </w: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  <w:lang w:eastAsia="zh-CN"/>
        </w:rPr>
        <w:t>进一步</w:t>
      </w: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</w:rPr>
        <w:t>不断完善政府信息公开工作，围绕民政工作内容，拓宽传播渠道，加强信息保密审查，让政府信息公开工作落到实处。</w:t>
      </w:r>
      <w:r>
        <w:rPr>
          <w:rFonts w:hint="eastAsia" w:ascii="仿宋_GB2312" w:hAnsi="仿宋" w:eastAsia="仿宋_GB2312" w:cs="仿宋"/>
          <w:b/>
          <w:bCs/>
          <w:color w:val="333333"/>
          <w:kern w:val="0"/>
          <w:sz w:val="32"/>
          <w:szCs w:val="32"/>
          <w:lang w:eastAsia="zh-CN"/>
        </w:rPr>
        <w:t>一是</w:t>
      </w:r>
      <w:r>
        <w:rPr>
          <w:rFonts w:hint="eastAsia" w:ascii="仿宋_GB2312" w:hAnsi="仿宋" w:eastAsia="仿宋_GB2312" w:cs="仿宋"/>
          <w:b/>
          <w:bCs/>
          <w:color w:val="333333"/>
          <w:kern w:val="0"/>
          <w:sz w:val="32"/>
          <w:szCs w:val="32"/>
        </w:rPr>
        <w:t>及时公开疫情防控信息。</w:t>
      </w: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  <w:lang w:eastAsia="zh-CN"/>
        </w:rPr>
        <w:t>为配合我市疫情防控工作，维护好疫情防控期间的网络意识形态领域阵地。市民政局通过编制疫情防控系列信息，</w:t>
      </w: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</w:rPr>
        <w:t>及时向社会公布我局疫情防控</w:t>
      </w: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  <w:lang w:eastAsia="zh-CN"/>
        </w:rPr>
        <w:t>工作</w:t>
      </w: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</w:rPr>
        <w:t>情况和群众关切问题</w:t>
      </w: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  <w:lang w:eastAsia="zh-CN"/>
        </w:rPr>
        <w:t>。疫情期间共编制《</w:t>
      </w: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  <w:lang w:val="en-US" w:eastAsia="zh-CN"/>
        </w:rPr>
        <w:t>巴彦淖尔市民政局关于新型冠状病毒的肺炎疫情预防和控制情况</w:t>
      </w: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  <w:lang w:eastAsia="zh-CN"/>
        </w:rPr>
        <w:t>》</w:t>
      </w: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  <w:lang w:val="en-US" w:eastAsia="zh-CN"/>
        </w:rPr>
        <w:t>52期、《众志成城抗疫情——巴彦淖尔市社会组织在行动》26期、《巴彦淖尔市慈善总会关于疫情防控接收款物捐赠情况》17期。同时，为有效配合我市疫情防控工作，市民政局积极通过民政官网、微信公众号，面向社会发布民政领域疫情防控措施，提升政策覆盖面，让更多的群众了解疫情防控中相关业务办理方式变化，更好的指导群众办理业务。</w:t>
      </w:r>
      <w:r>
        <w:rPr>
          <w:rFonts w:hint="eastAsia" w:ascii="仿宋_GB2312" w:hAnsi="仿宋" w:eastAsia="仿宋_GB2312" w:cs="仿宋"/>
          <w:b/>
          <w:bCs/>
          <w:color w:val="333333"/>
          <w:kern w:val="0"/>
          <w:sz w:val="32"/>
          <w:szCs w:val="32"/>
          <w:lang w:eastAsia="zh-CN"/>
        </w:rPr>
        <w:t>二</w:t>
      </w:r>
      <w:r>
        <w:rPr>
          <w:rFonts w:hint="eastAsia" w:ascii="仿宋_GB2312" w:hAnsi="仿宋" w:eastAsia="仿宋_GB2312" w:cs="仿宋"/>
          <w:b/>
          <w:bCs/>
          <w:color w:val="333333"/>
          <w:kern w:val="0"/>
          <w:sz w:val="32"/>
          <w:szCs w:val="32"/>
        </w:rPr>
        <w:t>是</w:t>
      </w:r>
      <w:r>
        <w:rPr>
          <w:rFonts w:hint="eastAsia" w:ascii="仿宋_GB2312" w:hAnsi="仿宋" w:eastAsia="仿宋_GB2312" w:cs="仿宋"/>
          <w:b/>
          <w:bCs/>
          <w:color w:val="333333"/>
          <w:kern w:val="0"/>
          <w:sz w:val="32"/>
          <w:szCs w:val="32"/>
          <w:lang w:eastAsia="zh-CN"/>
        </w:rPr>
        <w:t>着力</w:t>
      </w:r>
      <w:r>
        <w:rPr>
          <w:rFonts w:hint="eastAsia" w:ascii="仿宋_GB2312" w:hAnsi="仿宋" w:eastAsia="仿宋_GB2312" w:cs="仿宋"/>
          <w:b/>
          <w:bCs/>
          <w:color w:val="333333"/>
          <w:kern w:val="0"/>
          <w:sz w:val="32"/>
          <w:szCs w:val="32"/>
        </w:rPr>
        <w:t>加强组织领导。</w:t>
      </w: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</w:rPr>
        <w:t>为深入推进政务公开工作，市民政局</w:t>
      </w: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  <w:lang w:eastAsia="zh-CN"/>
        </w:rPr>
        <w:t>进一步</w:t>
      </w: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</w:rPr>
        <w:t>强化组织领导，由主管副局长挂帅，明确由办公室负责政务公开日常工作，并安排专人负责日常政务信息更新</w:t>
      </w:r>
      <w:r>
        <w:rPr>
          <w:rFonts w:hint="eastAsia" w:ascii="仿宋_GB2312" w:hAnsi="仿宋" w:eastAsia="仿宋_GB2312" w:cs="仿宋"/>
          <w:color w:val="333333"/>
          <w:kern w:val="0"/>
          <w:sz w:val="32"/>
          <w:szCs w:val="32"/>
          <w:lang w:eastAsia="zh-CN"/>
        </w:rPr>
        <w:t>，做到信息质量稳步提升，信息实效及时更新，统筹推进政务信息公开工作。</w:t>
      </w:r>
      <w:r>
        <w:rPr>
          <w:rFonts w:hint="eastAsia" w:ascii="仿宋_GB2312" w:hAnsi="仿宋" w:eastAsia="仿宋_GB2312" w:cs="仿宋"/>
          <w:b/>
          <w:bCs/>
          <w:color w:val="333333"/>
          <w:kern w:val="0"/>
          <w:sz w:val="32"/>
          <w:szCs w:val="32"/>
          <w:lang w:eastAsia="zh-CN"/>
        </w:rPr>
        <w:t>三</w:t>
      </w:r>
      <w:r>
        <w:rPr>
          <w:rFonts w:hint="eastAsia" w:ascii="仿宋_GB2312" w:hAnsi="仿宋" w:eastAsia="仿宋_GB2312" w:cs="仿宋"/>
          <w:b/>
          <w:bCs/>
          <w:color w:val="333333"/>
          <w:kern w:val="0"/>
          <w:sz w:val="32"/>
          <w:szCs w:val="32"/>
        </w:rPr>
        <w:t>是</w:t>
      </w:r>
      <w:r>
        <w:rPr>
          <w:rFonts w:hint="eastAsia" w:ascii="仿宋_GB2312" w:hAnsi="仿宋" w:eastAsia="仿宋_GB2312" w:cs="仿宋"/>
          <w:b/>
          <w:bCs/>
          <w:color w:val="333333"/>
          <w:kern w:val="0"/>
          <w:sz w:val="32"/>
          <w:szCs w:val="32"/>
          <w:lang w:eastAsia="zh-CN"/>
        </w:rPr>
        <w:t>完善</w:t>
      </w:r>
      <w:r>
        <w:rPr>
          <w:rFonts w:hint="eastAsia" w:ascii="仿宋_GB2312" w:hAnsi="仿宋" w:eastAsia="仿宋_GB2312" w:cs="仿宋"/>
          <w:b/>
          <w:bCs/>
          <w:color w:val="333333"/>
          <w:kern w:val="0"/>
          <w:sz w:val="32"/>
          <w:szCs w:val="32"/>
        </w:rPr>
        <w:t>重点领域信息公开。</w:t>
      </w:r>
      <w:r>
        <w:rPr>
          <w:rFonts w:hint="eastAsia" w:ascii="仿宋_GB2312" w:hAnsi="仿宋" w:eastAsia="仿宋_GB2312" w:cs="仿宋"/>
          <w:color w:val="2F2F2F"/>
          <w:kern w:val="0"/>
          <w:sz w:val="32"/>
          <w:szCs w:val="32"/>
        </w:rPr>
        <w:t>对于临时救助、残疾人“两补”、低保金发放等群众关心的重点领域切实做好信息公开工作，及时向社会公开监督举报电话，保证社会救助、社会事务等重点领域公开透明。</w:t>
      </w:r>
      <w:r>
        <w:rPr>
          <w:rFonts w:hint="eastAsia" w:ascii="仿宋_GB2312" w:hAnsi="仿宋" w:eastAsia="仿宋_GB2312" w:cs="仿宋"/>
          <w:color w:val="2F2F2F"/>
          <w:kern w:val="0"/>
          <w:sz w:val="32"/>
          <w:szCs w:val="32"/>
          <w:lang w:eastAsia="zh-CN"/>
        </w:rPr>
        <w:t>尤其是疫情防控期间，及时向社会公示社会救助经办人联系电话，确保困难群众求助有门，受助及时。</w:t>
      </w:r>
      <w:r>
        <w:rPr>
          <w:rFonts w:hint="eastAsia" w:ascii="仿宋_GB2312" w:hAnsi="仿宋" w:eastAsia="仿宋_GB2312" w:cs="仿宋"/>
          <w:b/>
          <w:bCs/>
          <w:color w:val="2F2F2F"/>
          <w:kern w:val="0"/>
          <w:sz w:val="32"/>
          <w:szCs w:val="32"/>
          <w:lang w:eastAsia="zh-CN"/>
        </w:rPr>
        <w:t>四</w:t>
      </w:r>
      <w:r>
        <w:rPr>
          <w:rFonts w:hint="eastAsia" w:ascii="仿宋_GB2312" w:hAnsi="仿宋" w:eastAsia="仿宋_GB2312" w:cs="仿宋"/>
          <w:b/>
          <w:bCs/>
          <w:color w:val="2F2F2F"/>
          <w:kern w:val="0"/>
          <w:sz w:val="32"/>
          <w:szCs w:val="32"/>
        </w:rPr>
        <w:t>是</w:t>
      </w:r>
      <w:r>
        <w:rPr>
          <w:rFonts w:hint="eastAsia" w:ascii="仿宋_GB2312" w:hAnsi="仿宋" w:eastAsia="仿宋_GB2312" w:cs="仿宋"/>
          <w:b/>
          <w:bCs/>
          <w:color w:val="2F2F2F"/>
          <w:kern w:val="0"/>
          <w:sz w:val="32"/>
          <w:szCs w:val="32"/>
          <w:lang w:eastAsia="zh-CN"/>
        </w:rPr>
        <w:t>不断</w:t>
      </w:r>
      <w:r>
        <w:rPr>
          <w:rFonts w:hint="eastAsia" w:ascii="仿宋_GB2312" w:hAnsi="仿宋" w:eastAsia="仿宋_GB2312" w:cs="仿宋"/>
          <w:b/>
          <w:bCs/>
          <w:color w:val="2F2F2F"/>
          <w:kern w:val="0"/>
          <w:sz w:val="32"/>
          <w:szCs w:val="32"/>
        </w:rPr>
        <w:t>拓宽宣传载体</w:t>
      </w:r>
      <w:r>
        <w:rPr>
          <w:rFonts w:hint="eastAsia" w:ascii="仿宋_GB2312" w:hAnsi="仿宋" w:eastAsia="仿宋_GB2312" w:cs="仿宋"/>
          <w:b/>
          <w:bCs/>
          <w:color w:val="2F2F2F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_GB2312" w:cs="仿宋"/>
          <w:color w:val="2F2F2F"/>
          <w:kern w:val="0"/>
          <w:sz w:val="32"/>
          <w:szCs w:val="32"/>
          <w:lang w:eastAsia="zh-CN"/>
        </w:rPr>
        <w:t>今年来，市民政局高度重视新媒体运用，切实发挥微信公众平台在日常宣传中高效便捷的优势，不断拓宽宣传渠道，及时</w:t>
      </w:r>
      <w:r>
        <w:rPr>
          <w:rFonts w:hint="eastAsia" w:ascii="仿宋_GB2312" w:hAnsi="仿宋" w:eastAsia="仿宋_GB2312" w:cs="仿宋"/>
          <w:color w:val="2F2F2F"/>
          <w:kern w:val="0"/>
          <w:sz w:val="32"/>
          <w:szCs w:val="32"/>
        </w:rPr>
        <w:t>通过民政局官网、“巴彦淖尔民政”微信公众号平台，面向公众宣传各类民政政策、民政服务工作</w:t>
      </w:r>
      <w:r>
        <w:rPr>
          <w:rFonts w:hint="eastAsia" w:ascii="仿宋_GB2312" w:hAnsi="仿宋" w:eastAsia="仿宋_GB2312" w:cs="仿宋"/>
          <w:color w:val="2F2F2F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"/>
          <w:color w:val="2F2F2F"/>
          <w:kern w:val="0"/>
          <w:sz w:val="32"/>
          <w:szCs w:val="32"/>
        </w:rPr>
        <w:t>多渠道多方式维护好宣传阵地，切实保障公众的知情权、参与权、监督权。</w:t>
      </w:r>
      <w:r>
        <w:rPr>
          <w:rFonts w:hint="eastAsia" w:ascii="仿宋_GB2312" w:hAnsi="仿宋" w:eastAsia="仿宋_GB2312" w:cs="仿宋"/>
          <w:b/>
          <w:bCs/>
          <w:color w:val="2F2F2F"/>
          <w:kern w:val="0"/>
          <w:sz w:val="32"/>
          <w:szCs w:val="32"/>
          <w:lang w:eastAsia="zh-CN"/>
        </w:rPr>
        <w:t>五是</w:t>
      </w:r>
      <w:r>
        <w:rPr>
          <w:rFonts w:hint="eastAsia" w:ascii="仿宋_GB2312" w:hAnsi="仿宋" w:eastAsia="仿宋_GB2312" w:cs="仿宋"/>
          <w:b/>
          <w:bCs/>
          <w:color w:val="2F2F2F"/>
          <w:kern w:val="0"/>
          <w:sz w:val="32"/>
          <w:szCs w:val="32"/>
        </w:rPr>
        <w:t>加强对政府系统政务新媒体管理监控</w:t>
      </w:r>
      <w:r>
        <w:rPr>
          <w:rFonts w:hint="eastAsia" w:ascii="仿宋_GB2312" w:hAnsi="仿宋" w:eastAsia="仿宋_GB2312" w:cs="仿宋"/>
          <w:b/>
          <w:bCs/>
          <w:color w:val="2F2F2F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_GB2312" w:cs="仿宋"/>
          <w:color w:val="2F2F2F"/>
          <w:kern w:val="0"/>
          <w:sz w:val="32"/>
          <w:szCs w:val="32"/>
          <w:lang w:eastAsia="zh-CN"/>
        </w:rPr>
        <w:t>为进一步加强政务新媒体管理</w:t>
      </w:r>
      <w:r>
        <w:rPr>
          <w:rFonts w:hint="eastAsia" w:ascii="仿宋_GB2312" w:hAnsi="仿宋" w:eastAsia="仿宋_GB2312" w:cs="仿宋"/>
          <w:color w:val="2F2F2F"/>
          <w:kern w:val="0"/>
          <w:sz w:val="32"/>
          <w:szCs w:val="32"/>
        </w:rPr>
        <w:t>，保证</w:t>
      </w:r>
      <w:r>
        <w:rPr>
          <w:rFonts w:hint="eastAsia" w:ascii="仿宋_GB2312" w:hAnsi="仿宋" w:eastAsia="仿宋_GB2312" w:cs="仿宋"/>
          <w:color w:val="2F2F2F"/>
          <w:kern w:val="0"/>
          <w:sz w:val="32"/>
          <w:szCs w:val="32"/>
          <w:lang w:eastAsia="zh-CN"/>
        </w:rPr>
        <w:t>市直民政系统政务新媒体规范有序运行，</w:t>
      </w:r>
      <w:r>
        <w:rPr>
          <w:rFonts w:hint="eastAsia" w:ascii="仿宋_GB2312" w:hAnsi="仿宋" w:eastAsia="仿宋_GB2312" w:cs="仿宋"/>
          <w:color w:val="2F2F2F"/>
          <w:kern w:val="0"/>
          <w:sz w:val="32"/>
          <w:szCs w:val="32"/>
          <w:lang w:val="en-US" w:eastAsia="zh-CN"/>
        </w:rPr>
        <w:t>2020年市民政局对市直民政系统各类政务新媒体数量进行摸底排查，建立台账清单，并定期对政务新媒体运行情况进行督查，对于发现的问题及时通报整改，确保政务新媒体规范有序运行。</w:t>
      </w:r>
    </w:p>
    <w:p>
      <w:pPr>
        <w:widowControl/>
        <w:spacing w:after="100" w:afterAutospacing="1" w:line="560" w:lineRule="atLeast"/>
        <w:ind w:firstLine="641"/>
        <w:rPr>
          <w:rFonts w:ascii="黑体" w:hAnsi="黑体" w:eastAsia="黑体" w:cs="黑体"/>
          <w:color w:val="2F2F2F"/>
          <w:sz w:val="32"/>
          <w:szCs w:val="32"/>
        </w:rPr>
      </w:pPr>
      <w:r>
        <w:rPr>
          <w:rFonts w:hint="eastAsia" w:ascii="黑体" w:hAnsi="黑体" w:eastAsia="黑体" w:cs="黑体"/>
          <w:color w:val="2F2F2F"/>
          <w:kern w:val="0"/>
          <w:sz w:val="32"/>
          <w:szCs w:val="32"/>
        </w:rPr>
        <w:t>二、主动公开政府信息的情况</w:t>
      </w:r>
    </w:p>
    <w:tbl>
      <w:tblPr>
        <w:tblStyle w:val="5"/>
        <w:tblW w:w="8140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13"/>
        <w:gridCol w:w="1875"/>
        <w:gridCol w:w="6"/>
        <w:gridCol w:w="1265"/>
        <w:gridCol w:w="188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2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本年新</w:t>
            </w:r>
            <w:r>
              <w:rPr>
                <w:rFonts w:hint="eastAsia" w:ascii="微软雅黑" w:hAnsi="微软雅黑" w:eastAsia="微软雅黑" w:cs="微软雅黑"/>
                <w:color w:val="2F2F2F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制作数量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本年新</w:t>
            </w:r>
            <w:r>
              <w:rPr>
                <w:rFonts w:hint="eastAsia" w:ascii="微软雅黑" w:hAnsi="微软雅黑" w:eastAsia="微软雅黑" w:cs="微软雅黑"/>
                <w:color w:val="2F2F2F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公开数量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对外公开总数量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规章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Times New Roman" w:hAnsi="Times New Roman" w:eastAsia="微软雅黑"/>
                <w:color w:val="2F2F2F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Times New Roman" w:hAnsi="Times New Roman" w:eastAsia="微软雅黑"/>
                <w:color w:val="2F2F2F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Times New Roman" w:hAnsi="Times New Roman" w:eastAsia="微软雅黑"/>
                <w:color w:val="2F2F2F"/>
                <w:kern w:val="0"/>
                <w:szCs w:val="21"/>
                <w:lang w:val="en-US" w:eastAsia="zh-CN"/>
              </w:rPr>
              <w:t>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本年增</w:t>
            </w:r>
            <w:r>
              <w:rPr>
                <w:rFonts w:hint="eastAsia" w:ascii="微软雅黑" w:hAnsi="微软雅黑" w:eastAsia="微软雅黑" w:cs="微软雅黑"/>
                <w:color w:val="2F2F2F"/>
                <w:kern w:val="0"/>
                <w:sz w:val="20"/>
                <w:szCs w:val="20"/>
              </w:rPr>
              <w:t>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处理决定数量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8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Times New Roman" w:hAnsi="Times New Roman" w:eastAsia="微软雅黑"/>
                <w:color w:val="2F2F2F"/>
                <w:kern w:val="0"/>
                <w:szCs w:val="21"/>
                <w:lang w:val="en-US" w:eastAsia="zh-CN"/>
              </w:rPr>
              <w:t>19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Times New Roman" w:hAnsi="Times New Roman" w:eastAsia="微软雅黑"/>
                <w:color w:val="2F2F2F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Times New Roman" w:hAnsi="Times New Roman" w:eastAsia="微软雅黑"/>
                <w:color w:val="2F2F2F"/>
                <w:kern w:val="0"/>
                <w:szCs w:val="21"/>
                <w:lang w:val="en-US" w:eastAsia="zh-CN"/>
              </w:rPr>
              <w:t>7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其他对外管理服务事项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本年增</w:t>
            </w:r>
            <w:r>
              <w:rPr>
                <w:rFonts w:hint="eastAsia" w:ascii="微软雅黑" w:hAnsi="微软雅黑" w:eastAsia="微软雅黑" w:cs="微软雅黑"/>
                <w:color w:val="2F2F2F"/>
                <w:kern w:val="0"/>
                <w:sz w:val="20"/>
                <w:szCs w:val="20"/>
              </w:rPr>
              <w:t>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处理决定数量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Times New Roman" w:hAnsi="Times New Roman" w:eastAsia="微软雅黑"/>
                <w:color w:val="2F2F2F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Times New Roman" w:hAnsi="Times New Roman" w:eastAsia="微软雅黑"/>
                <w:color w:val="2F2F2F"/>
                <w:kern w:val="0"/>
                <w:szCs w:val="21"/>
              </w:rPr>
              <w:t>1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Times New Roman" w:hAnsi="Times New Roman" w:eastAsia="微软雅黑"/>
                <w:color w:val="2F2F2F"/>
                <w:kern w:val="0"/>
                <w:szCs w:val="21"/>
                <w:lang w:val="en-US" w:eastAsia="zh-CN"/>
              </w:rPr>
              <w:t>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9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hint="eastAsia"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314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本年增</w:t>
            </w:r>
            <w:r>
              <w:rPr>
                <w:rFonts w:hint="eastAsia" w:ascii="微软雅黑" w:hAnsi="微软雅黑" w:eastAsia="微软雅黑" w:cs="微软雅黑"/>
                <w:color w:val="2F2F2F"/>
                <w:kern w:val="0"/>
                <w:sz w:val="20"/>
                <w:szCs w:val="20"/>
              </w:rPr>
              <w:t>/减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第二十条第（九）项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采购项目数量</w:t>
            </w:r>
          </w:p>
        </w:tc>
        <w:tc>
          <w:tcPr>
            <w:tcW w:w="314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采购总金额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政府集中采购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Times New Roman" w:hAnsi="Times New Roman" w:eastAsia="微软雅黑"/>
                <w:color w:val="2F2F2F"/>
                <w:kern w:val="0"/>
                <w:szCs w:val="21"/>
                <w:lang w:val="en-US" w:eastAsia="zh-CN"/>
              </w:rPr>
              <w:t>19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Times New Roman" w:hAnsi="Times New Roman" w:eastAsia="微软雅黑"/>
                <w:color w:val="2F2F2F"/>
                <w:kern w:val="0"/>
                <w:sz w:val="24"/>
                <w:lang w:val="en-US" w:eastAsia="zh-CN"/>
              </w:rPr>
              <w:t>2213717.4</w:t>
            </w:r>
          </w:p>
        </w:tc>
      </w:tr>
    </w:tbl>
    <w:p>
      <w:pPr>
        <w:pStyle w:val="4"/>
        <w:widowControl/>
        <w:spacing w:before="0" w:beforeAutospacing="0" w:after="0" w:afterAutospacing="0"/>
        <w:jc w:val="both"/>
        <w:rPr>
          <w:rFonts w:ascii="黑体" w:hAnsi="黑体" w:eastAsia="黑体" w:cs="黑体"/>
          <w:color w:val="2F2F2F"/>
          <w:sz w:val="32"/>
          <w:szCs w:val="32"/>
        </w:rPr>
      </w:pPr>
      <w:r>
        <w:rPr>
          <w:rFonts w:hint="eastAsia" w:ascii="黑体" w:hAnsi="黑体" w:eastAsia="黑体" w:cs="黑体"/>
          <w:color w:val="2F2F2F"/>
          <w:sz w:val="32"/>
          <w:szCs w:val="32"/>
        </w:rPr>
        <w:t>三、收到和处理政府信息公开申请情况</w:t>
      </w:r>
    </w:p>
    <w:tbl>
      <w:tblPr>
        <w:tblStyle w:val="5"/>
        <w:tblW w:w="9071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6"/>
        <w:gridCol w:w="816"/>
        <w:gridCol w:w="2280"/>
        <w:gridCol w:w="755"/>
        <w:gridCol w:w="762"/>
        <w:gridCol w:w="762"/>
        <w:gridCol w:w="822"/>
        <w:gridCol w:w="986"/>
        <w:gridCol w:w="718"/>
        <w:gridCol w:w="60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5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41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5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75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自</w:t>
            </w:r>
          </w:p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然</w:t>
            </w:r>
          </w:p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人</w:t>
            </w:r>
          </w:p>
        </w:tc>
        <w:tc>
          <w:tcPr>
            <w:tcW w:w="405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09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5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7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82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98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7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其他</w:t>
            </w:r>
          </w:p>
        </w:tc>
        <w:tc>
          <w:tcPr>
            <w:tcW w:w="609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5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5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304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8" w:hRule="atLeast"/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304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0" w:hRule="atLeast"/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76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1.</w:t>
            </w:r>
            <w:r>
              <w:rPr>
                <w:rFonts w:hint="eastAsia" w:ascii="微软雅黑" w:hAnsi="微软雅黑" w:eastAsia="微软雅黑" w:cs="微软雅黑"/>
                <w:color w:val="2F2F2F"/>
                <w:kern w:val="0"/>
                <w:sz w:val="20"/>
                <w:szCs w:val="20"/>
              </w:rPr>
              <w:t>属于国家秘密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1" w:hRule="atLeast"/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76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2.</w:t>
            </w:r>
            <w:r>
              <w:rPr>
                <w:rFonts w:hint="eastAsia" w:ascii="微软雅黑" w:hAnsi="微软雅黑" w:eastAsia="微软雅黑" w:cs="微软雅黑"/>
                <w:color w:val="2F2F2F"/>
                <w:kern w:val="0"/>
                <w:sz w:val="20"/>
                <w:szCs w:val="20"/>
              </w:rPr>
              <w:t>其他法律行政法规禁止公开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76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3.</w:t>
            </w:r>
            <w:r>
              <w:rPr>
                <w:rFonts w:hint="eastAsia" w:ascii="微软雅黑" w:hAnsi="微软雅黑" w:eastAsia="微软雅黑" w:cs="微软雅黑"/>
                <w:color w:val="2F2F2F"/>
                <w:kern w:val="0"/>
                <w:sz w:val="20"/>
                <w:szCs w:val="20"/>
              </w:rPr>
              <w:t>危及“三安全一稳定”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76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4.</w:t>
            </w:r>
            <w:r>
              <w:rPr>
                <w:rFonts w:hint="eastAsia" w:ascii="微软雅黑" w:hAnsi="微软雅黑" w:eastAsia="微软雅黑" w:cs="微软雅黑"/>
                <w:color w:val="2F2F2F"/>
                <w:kern w:val="0"/>
                <w:sz w:val="20"/>
                <w:szCs w:val="20"/>
              </w:rPr>
              <w:t>保护第三方合法权益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76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5.</w:t>
            </w:r>
            <w:r>
              <w:rPr>
                <w:rFonts w:hint="eastAsia" w:ascii="微软雅黑" w:hAnsi="微软雅黑" w:eastAsia="微软雅黑" w:cs="微软雅黑"/>
                <w:color w:val="2F2F2F"/>
                <w:kern w:val="0"/>
                <w:sz w:val="20"/>
                <w:szCs w:val="20"/>
              </w:rPr>
              <w:t>属于三类内部事务信息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76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6.</w:t>
            </w:r>
            <w:r>
              <w:rPr>
                <w:rFonts w:hint="eastAsia" w:ascii="微软雅黑" w:hAnsi="微软雅黑" w:eastAsia="微软雅黑" w:cs="微软雅黑"/>
                <w:color w:val="2F2F2F"/>
                <w:kern w:val="0"/>
                <w:sz w:val="20"/>
                <w:szCs w:val="20"/>
              </w:rPr>
              <w:t>属于四类过程性信息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76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7.</w:t>
            </w:r>
            <w:r>
              <w:rPr>
                <w:rFonts w:hint="eastAsia" w:ascii="微软雅黑" w:hAnsi="微软雅黑" w:eastAsia="微软雅黑" w:cs="微软雅黑"/>
                <w:color w:val="2F2F2F"/>
                <w:kern w:val="0"/>
                <w:sz w:val="20"/>
                <w:szCs w:val="20"/>
              </w:rPr>
              <w:t>属于行政执法案卷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76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8.</w:t>
            </w:r>
            <w:r>
              <w:rPr>
                <w:rFonts w:hint="eastAsia" w:ascii="微软雅黑" w:hAnsi="微软雅黑" w:eastAsia="微软雅黑" w:cs="微软雅黑"/>
                <w:color w:val="2F2F2F"/>
                <w:kern w:val="0"/>
                <w:sz w:val="20"/>
                <w:szCs w:val="20"/>
              </w:rPr>
              <w:t>属于行政查询事项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76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1.</w:t>
            </w:r>
            <w:r>
              <w:rPr>
                <w:rFonts w:hint="eastAsia" w:ascii="微软雅黑" w:hAnsi="微软雅黑" w:eastAsia="微软雅黑" w:cs="微软雅黑"/>
                <w:color w:val="2F2F2F"/>
                <w:kern w:val="0"/>
                <w:sz w:val="20"/>
                <w:szCs w:val="20"/>
              </w:rPr>
              <w:t>本机关不掌握相关政府信息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76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2.</w:t>
            </w:r>
            <w:r>
              <w:rPr>
                <w:rFonts w:hint="eastAsia" w:ascii="微软雅黑" w:hAnsi="微软雅黑" w:eastAsia="微软雅黑" w:cs="微软雅黑"/>
                <w:color w:val="2F2F2F"/>
                <w:kern w:val="0"/>
                <w:sz w:val="20"/>
                <w:szCs w:val="20"/>
              </w:rPr>
              <w:t>没有现成信息需要另行制作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76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3.</w:t>
            </w:r>
            <w:r>
              <w:rPr>
                <w:rFonts w:hint="eastAsia" w:ascii="微软雅黑" w:hAnsi="微软雅黑" w:eastAsia="微软雅黑" w:cs="微软雅黑"/>
                <w:color w:val="2F2F2F"/>
                <w:kern w:val="0"/>
                <w:sz w:val="20"/>
                <w:szCs w:val="20"/>
              </w:rPr>
              <w:t>补正后申请内容仍不明确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76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1.</w:t>
            </w:r>
            <w:r>
              <w:rPr>
                <w:rFonts w:hint="eastAsia" w:ascii="微软雅黑" w:hAnsi="微软雅黑" w:eastAsia="微软雅黑" w:cs="微软雅黑"/>
                <w:color w:val="2F2F2F"/>
                <w:kern w:val="0"/>
                <w:sz w:val="20"/>
                <w:szCs w:val="20"/>
              </w:rPr>
              <w:t>信访举报投诉类申请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76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2.</w:t>
            </w:r>
            <w:r>
              <w:rPr>
                <w:rFonts w:hint="eastAsia" w:ascii="微软雅黑" w:hAnsi="微软雅黑" w:eastAsia="微软雅黑" w:cs="微软雅黑"/>
                <w:color w:val="2F2F2F"/>
                <w:kern w:val="0"/>
                <w:sz w:val="20"/>
                <w:szCs w:val="20"/>
              </w:rPr>
              <w:t>重复申请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76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3.</w:t>
            </w:r>
            <w:r>
              <w:rPr>
                <w:rFonts w:hint="eastAsia" w:ascii="微软雅黑" w:hAnsi="微软雅黑" w:eastAsia="微软雅黑" w:cs="微软雅黑"/>
                <w:color w:val="2F2F2F"/>
                <w:kern w:val="0"/>
                <w:sz w:val="20"/>
                <w:szCs w:val="20"/>
              </w:rPr>
              <w:t>要求提供公开出版物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76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4.</w:t>
            </w:r>
            <w:r>
              <w:rPr>
                <w:rFonts w:hint="eastAsia" w:ascii="微软雅黑" w:hAnsi="微软雅黑" w:eastAsia="微软雅黑" w:cs="微软雅黑"/>
                <w:color w:val="2F2F2F"/>
                <w:kern w:val="0"/>
                <w:sz w:val="20"/>
                <w:szCs w:val="20"/>
              </w:rPr>
              <w:t>无正当理由大量反复申请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76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5.</w:t>
            </w:r>
            <w:r>
              <w:rPr>
                <w:rFonts w:hint="eastAsia" w:ascii="微软雅黑" w:hAnsi="微软雅黑" w:eastAsia="微软雅黑" w:cs="微软雅黑"/>
                <w:color w:val="2F2F2F"/>
                <w:kern w:val="0"/>
                <w:sz w:val="20"/>
                <w:szCs w:val="20"/>
              </w:rPr>
              <w:t>要求行政机关确认或重新出具已获取信息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304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304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5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Cs w:val="21"/>
              </w:rPr>
              <w:t>0</w:t>
            </w:r>
          </w:p>
        </w:tc>
      </w:tr>
    </w:tbl>
    <w:p>
      <w:pPr>
        <w:pStyle w:val="4"/>
        <w:widowControl/>
        <w:spacing w:before="0" w:beforeAutospacing="0" w:after="0" w:afterAutospacing="0"/>
        <w:jc w:val="both"/>
        <w:rPr>
          <w:rFonts w:ascii="微软雅黑" w:hAnsi="微软雅黑" w:eastAsia="微软雅黑" w:cs="微软雅黑"/>
          <w:color w:val="2F2F2F"/>
        </w:rPr>
      </w:pPr>
      <w:r>
        <w:rPr>
          <w:rFonts w:hint="eastAsia" w:ascii="黑体" w:hAnsi="黑体" w:eastAsia="黑体" w:cs="黑体"/>
          <w:color w:val="2F2F2F"/>
          <w:sz w:val="32"/>
          <w:szCs w:val="32"/>
        </w:rPr>
        <w:t>四、政府信息公开行政复议、行政诉讼情况</w:t>
      </w:r>
      <w:r>
        <w:rPr>
          <w:rFonts w:ascii="Times New Roman" w:hAnsi="Times New Roman" w:eastAsia="微软雅黑"/>
          <w:color w:val="333333"/>
        </w:rPr>
        <w:t> </w:t>
      </w:r>
    </w:p>
    <w:tbl>
      <w:tblPr>
        <w:tblStyle w:val="5"/>
        <w:tblW w:w="9071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微软雅黑" w:hAnsi="微软雅黑" w:eastAsia="微软雅黑" w:cs="微软雅黑"/>
                <w:color w:val="2F2F2F"/>
                <w:sz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Times New Roman" w:hAnsi="Times New Roman" w:eastAsia="微软雅黑"/>
                <w:color w:val="2F2F2F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 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0 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Times New Roman" w:hAnsi="Times New Roman" w:eastAsia="微软雅黑"/>
                <w:color w:val="2F2F2F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Times New Roman" w:hAnsi="Times New Roman" w:eastAsia="微软雅黑"/>
                <w:color w:val="2F2F2F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 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 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 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Times New Roman" w:hAnsi="Times New Roman" w:eastAsia="微软雅黑"/>
                <w:color w:val="2F2F2F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ascii="微软雅黑" w:hAnsi="微软雅黑" w:eastAsia="微软雅黑" w:cs="微软雅黑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ascii="Times New Roman" w:hAnsi="Times New Roman" w:eastAsia="微软雅黑"/>
                <w:color w:val="2F2F2F"/>
                <w:kern w:val="0"/>
                <w:sz w:val="20"/>
                <w:szCs w:val="20"/>
              </w:rPr>
              <w:t> </w:t>
            </w:r>
            <w:r>
              <w:rPr>
                <w:rFonts w:hint="eastAsia" w:ascii="Times New Roman" w:hAnsi="Times New Roman" w:eastAsia="微软雅黑"/>
                <w:color w:val="2F2F2F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Times New Roman" w:hAnsi="Times New Roman" w:eastAsia="微软雅黑"/>
                <w:color w:val="2F2F2F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Times New Roman" w:hAnsi="Times New Roman" w:eastAsia="微软雅黑"/>
                <w:color w:val="2F2F2F"/>
                <w:kern w:val="0"/>
                <w:sz w:val="20"/>
                <w:szCs w:val="20"/>
                <w:lang w:val="en-US" w:eastAsia="zh-CN"/>
              </w:rPr>
              <w:t>1</w:t>
            </w:r>
          </w:p>
        </w:tc>
      </w:tr>
    </w:tbl>
    <w:p>
      <w:pPr>
        <w:widowControl/>
        <w:jc w:val="center"/>
        <w:rPr>
          <w:rFonts w:ascii="仿宋" w:hAnsi="仿宋" w:eastAsia="仿宋" w:cs="仿宋"/>
          <w:color w:val="2F2F2F"/>
          <w:kern w:val="0"/>
          <w:sz w:val="32"/>
          <w:szCs w:val="32"/>
        </w:rPr>
      </w:pPr>
      <w:r>
        <w:rPr>
          <w:rFonts w:ascii="Times New Roman" w:hAnsi="Times New Roman" w:eastAsia="微软雅黑"/>
          <w:color w:val="333333"/>
          <w:kern w:val="0"/>
          <w:sz w:val="24"/>
        </w:rPr>
        <w:t> </w:t>
      </w:r>
    </w:p>
    <w:p>
      <w:pPr>
        <w:adjustRightInd w:val="0"/>
        <w:spacing w:line="600" w:lineRule="exact"/>
        <w:ind w:firstLine="640" w:firstLineChars="200"/>
        <w:rPr>
          <w:rFonts w:ascii="黑体" w:hAnsi="黑体" w:eastAsia="黑体" w:cs="黑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</w:rPr>
        <w:t>五、存在的主要问题及改进情况</w:t>
      </w:r>
    </w:p>
    <w:p>
      <w:pPr>
        <w:pStyle w:val="4"/>
        <w:widowControl/>
        <w:spacing w:before="0" w:beforeAutospacing="0" w:after="0" w:afterAutospacing="0" w:line="600" w:lineRule="atLeast"/>
        <w:ind w:firstLine="640"/>
        <w:jc w:val="both"/>
        <w:rPr>
          <w:rFonts w:hint="eastAsia" w:ascii="仿宋_GB2312" w:hAnsi="仿宋" w:eastAsia="仿宋_GB2312" w:cs="仿宋"/>
          <w:color w:val="2F2F2F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color w:val="2F2F2F"/>
          <w:sz w:val="32"/>
          <w:szCs w:val="32"/>
        </w:rPr>
        <w:t>20</w:t>
      </w:r>
      <w:r>
        <w:rPr>
          <w:rFonts w:hint="eastAsia" w:ascii="仿宋_GB2312" w:hAnsi="仿宋" w:eastAsia="仿宋_GB2312" w:cs="仿宋"/>
          <w:color w:val="2F2F2F"/>
          <w:sz w:val="32"/>
          <w:szCs w:val="32"/>
          <w:lang w:val="en-US" w:eastAsia="zh-CN"/>
        </w:rPr>
        <w:t>20</w:t>
      </w:r>
      <w:r>
        <w:rPr>
          <w:rFonts w:hint="eastAsia" w:ascii="仿宋_GB2312" w:hAnsi="仿宋" w:eastAsia="仿宋_GB2312" w:cs="仿宋"/>
          <w:color w:val="2F2F2F"/>
          <w:sz w:val="32"/>
          <w:szCs w:val="32"/>
        </w:rPr>
        <w:t>年，市民政局政务信息公开工作取得了一定成绩，但离群众期待还有一定差距。还存在信息公开</w:t>
      </w:r>
      <w:r>
        <w:rPr>
          <w:rFonts w:hint="eastAsia" w:ascii="仿宋_GB2312" w:hAnsi="仿宋" w:eastAsia="仿宋_GB2312" w:cs="仿宋"/>
          <w:color w:val="2F2F2F"/>
          <w:sz w:val="32"/>
          <w:szCs w:val="32"/>
          <w:lang w:eastAsia="zh-CN"/>
        </w:rPr>
        <w:t>质量有待提高</w:t>
      </w:r>
      <w:r>
        <w:rPr>
          <w:rFonts w:hint="eastAsia" w:ascii="仿宋_GB2312" w:hAnsi="仿宋" w:eastAsia="仿宋_GB2312" w:cs="仿宋"/>
          <w:color w:val="2F2F2F"/>
          <w:sz w:val="32"/>
          <w:szCs w:val="32"/>
        </w:rPr>
        <w:t>，信息公开</w:t>
      </w:r>
      <w:r>
        <w:rPr>
          <w:rFonts w:hint="eastAsia" w:ascii="仿宋_GB2312" w:hAnsi="仿宋" w:eastAsia="仿宋_GB2312" w:cs="仿宋"/>
          <w:color w:val="2F2F2F"/>
          <w:sz w:val="32"/>
          <w:szCs w:val="32"/>
          <w:lang w:eastAsia="zh-CN"/>
        </w:rPr>
        <w:t>栏目有缺失</w:t>
      </w:r>
      <w:r>
        <w:rPr>
          <w:rFonts w:hint="eastAsia" w:ascii="仿宋_GB2312" w:hAnsi="仿宋" w:eastAsia="仿宋_GB2312" w:cs="仿宋"/>
          <w:color w:val="2F2F2F"/>
          <w:sz w:val="32"/>
          <w:szCs w:val="32"/>
        </w:rPr>
        <w:t>等问题。下一步工作中，市民政局将以问题为导向，根据市委、市政府政务公开有关文件要求，重点做好以下几个方面工作：</w:t>
      </w:r>
      <w:r>
        <w:rPr>
          <w:rFonts w:hint="eastAsia" w:ascii="仿宋_GB2312" w:hAnsi="仿宋" w:eastAsia="仿宋_GB2312" w:cs="仿宋"/>
          <w:color w:val="2F2F2F"/>
          <w:sz w:val="32"/>
          <w:szCs w:val="32"/>
          <w:lang w:eastAsia="zh-CN"/>
        </w:rPr>
        <w:t>一</w:t>
      </w:r>
      <w:r>
        <w:rPr>
          <w:rFonts w:hint="eastAsia" w:ascii="仿宋_GB2312" w:hAnsi="仿宋" w:eastAsia="仿宋_GB2312" w:cs="仿宋"/>
          <w:b/>
          <w:bCs/>
          <w:color w:val="2F2F2F"/>
          <w:sz w:val="32"/>
          <w:szCs w:val="32"/>
        </w:rPr>
        <w:t>是</w:t>
      </w:r>
      <w:r>
        <w:rPr>
          <w:rFonts w:hint="eastAsia" w:ascii="仿宋_GB2312" w:hAnsi="仿宋" w:eastAsia="仿宋_GB2312" w:cs="仿宋"/>
          <w:color w:val="2F2F2F"/>
          <w:sz w:val="32"/>
          <w:szCs w:val="32"/>
        </w:rPr>
        <w:t>提升信息公开质量。深入开展政务公开培训工作。不断提高工作人员的综合素质和业务能力，切实提升信息公开的深度和广度。</w:t>
      </w:r>
      <w:r>
        <w:rPr>
          <w:rFonts w:hint="eastAsia" w:ascii="仿宋_GB2312" w:hAnsi="仿宋" w:eastAsia="仿宋_GB2312" w:cs="仿宋"/>
          <w:b/>
          <w:bCs/>
          <w:color w:val="2F2F2F"/>
          <w:sz w:val="32"/>
          <w:szCs w:val="32"/>
          <w:lang w:eastAsia="zh-CN"/>
        </w:rPr>
        <w:t>二是</w:t>
      </w:r>
      <w:r>
        <w:rPr>
          <w:rFonts w:hint="eastAsia" w:ascii="仿宋_GB2312" w:hAnsi="仿宋" w:eastAsia="仿宋_GB2312" w:cs="仿宋"/>
          <w:color w:val="2F2F2F"/>
          <w:sz w:val="32"/>
          <w:szCs w:val="32"/>
          <w:lang w:eastAsia="zh-CN"/>
        </w:rPr>
        <w:t>健全信息公开栏目。积极协调信息中心，对我局网站栏目进行调整，新增政策解读和数据发布等栏目，及时对发布的政策文件进行解读，定期面向社会公示我局相关保障资金发放情况，满足群众对信息公开工作的实际需要，提升政务公开的透明度。</w:t>
      </w:r>
      <w:r>
        <w:rPr>
          <w:rFonts w:hint="eastAsia" w:ascii="仿宋_GB2312" w:hAnsi="仿宋" w:eastAsia="仿宋_GB2312" w:cs="仿宋"/>
          <w:b/>
          <w:bCs/>
          <w:color w:val="2F2F2F"/>
          <w:sz w:val="32"/>
          <w:szCs w:val="32"/>
        </w:rPr>
        <w:t>三是</w:t>
      </w:r>
      <w:r>
        <w:rPr>
          <w:rFonts w:hint="eastAsia" w:ascii="仿宋_GB2312" w:hAnsi="仿宋" w:eastAsia="仿宋_GB2312" w:cs="仿宋"/>
          <w:color w:val="2F2F2F"/>
          <w:sz w:val="32"/>
          <w:szCs w:val="32"/>
        </w:rPr>
        <w:t>强化群众</w:t>
      </w:r>
      <w:r>
        <w:rPr>
          <w:rFonts w:hint="eastAsia" w:ascii="仿宋_GB2312" w:hAnsi="仿宋" w:eastAsia="仿宋_GB2312" w:cs="仿宋"/>
          <w:color w:val="2F2F2F"/>
          <w:sz w:val="32"/>
          <w:szCs w:val="32"/>
          <w:lang w:eastAsia="zh-CN"/>
        </w:rPr>
        <w:t>参与渠道</w:t>
      </w:r>
      <w:r>
        <w:rPr>
          <w:rFonts w:hint="eastAsia" w:ascii="仿宋_GB2312" w:hAnsi="仿宋" w:eastAsia="仿宋_GB2312" w:cs="仿宋"/>
          <w:color w:val="2F2F2F"/>
          <w:sz w:val="32"/>
          <w:szCs w:val="32"/>
        </w:rPr>
        <w:t>，进一步完善市民政局官网和微信公众号的</w:t>
      </w:r>
      <w:r>
        <w:rPr>
          <w:rFonts w:hint="eastAsia" w:ascii="仿宋_GB2312" w:hAnsi="仿宋" w:eastAsia="仿宋_GB2312" w:cs="仿宋"/>
          <w:color w:val="2F2F2F"/>
          <w:sz w:val="32"/>
          <w:szCs w:val="32"/>
          <w:lang w:eastAsia="zh-CN"/>
        </w:rPr>
        <w:t>留言</w:t>
      </w:r>
      <w:r>
        <w:rPr>
          <w:rFonts w:hint="eastAsia" w:ascii="仿宋_GB2312" w:hAnsi="仿宋" w:eastAsia="仿宋_GB2312" w:cs="仿宋"/>
          <w:color w:val="2F2F2F"/>
          <w:sz w:val="32"/>
          <w:szCs w:val="32"/>
        </w:rPr>
        <w:t>功能，</w:t>
      </w:r>
      <w:r>
        <w:rPr>
          <w:rFonts w:hint="eastAsia" w:ascii="仿宋_GB2312" w:hAnsi="仿宋" w:eastAsia="仿宋_GB2312" w:cs="仿宋"/>
          <w:color w:val="2F2F2F"/>
          <w:sz w:val="32"/>
          <w:szCs w:val="32"/>
          <w:lang w:eastAsia="zh-CN"/>
        </w:rPr>
        <w:t>使群众可以通过互联网反馈遇到的问题，提出更好的建议，提升群众的参与度，让政策制定更加符合群众所盼。</w:t>
      </w:r>
    </w:p>
    <w:p>
      <w:pPr>
        <w:pStyle w:val="4"/>
        <w:widowControl/>
        <w:spacing w:before="0" w:beforeAutospacing="0" w:after="0" w:afterAutospacing="0"/>
        <w:ind w:firstLine="640"/>
        <w:jc w:val="both"/>
        <w:rPr>
          <w:rFonts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sz w:val="32"/>
          <w:szCs w:val="32"/>
        </w:rPr>
        <w:t>六、其他需要报告的事项</w:t>
      </w:r>
    </w:p>
    <w:p>
      <w:pPr>
        <w:pStyle w:val="4"/>
        <w:widowControl/>
        <w:spacing w:before="0" w:beforeAutospacing="0" w:after="0" w:afterAutospacing="0" w:line="600" w:lineRule="atLeast"/>
        <w:ind w:firstLine="640"/>
        <w:jc w:val="both"/>
        <w:rPr>
          <w:rFonts w:hint="eastAsia" w:ascii="仿宋_GB2312" w:hAnsi="仿宋" w:eastAsia="仿宋_GB2312" w:cs="仿宋"/>
          <w:color w:val="2F2F2F"/>
          <w:sz w:val="32"/>
          <w:szCs w:val="32"/>
        </w:rPr>
      </w:pPr>
      <w:r>
        <w:rPr>
          <w:rFonts w:hint="eastAsia" w:ascii="仿宋_GB2312" w:hAnsi="仿宋" w:eastAsia="仿宋_GB2312" w:cs="仿宋"/>
          <w:color w:val="2F2F2F"/>
          <w:sz w:val="32"/>
          <w:szCs w:val="32"/>
        </w:rPr>
        <w:t>20</w:t>
      </w:r>
      <w:r>
        <w:rPr>
          <w:rFonts w:hint="eastAsia" w:ascii="仿宋_GB2312" w:hAnsi="仿宋" w:eastAsia="仿宋_GB2312" w:cs="仿宋"/>
          <w:color w:val="2F2F2F"/>
          <w:sz w:val="32"/>
          <w:szCs w:val="32"/>
          <w:lang w:val="en-US" w:eastAsia="zh-CN"/>
        </w:rPr>
        <w:t>20</w:t>
      </w:r>
      <w:r>
        <w:rPr>
          <w:rFonts w:hint="eastAsia" w:ascii="仿宋_GB2312" w:hAnsi="仿宋" w:eastAsia="仿宋_GB2312" w:cs="仿宋"/>
          <w:color w:val="2F2F2F"/>
          <w:sz w:val="32"/>
          <w:szCs w:val="32"/>
        </w:rPr>
        <w:t>年市民政局微信公众号公开信息</w:t>
      </w:r>
      <w:r>
        <w:rPr>
          <w:rFonts w:hint="eastAsia" w:ascii="微软雅黑" w:hAnsi="微软雅黑" w:eastAsia="微软雅黑" w:cs="微软雅黑"/>
          <w:i w:val="0"/>
          <w:color w:val="333333"/>
          <w:sz w:val="24"/>
          <w:szCs w:val="24"/>
        </w:rPr>
        <w:t>676</w:t>
      </w:r>
      <w:r>
        <w:rPr>
          <w:rFonts w:hint="eastAsia" w:ascii="仿宋_GB2312" w:hAnsi="仿宋" w:eastAsia="仿宋_GB2312" w:cs="仿宋"/>
          <w:color w:val="2F2F2F"/>
          <w:sz w:val="32"/>
          <w:szCs w:val="32"/>
        </w:rPr>
        <w:t>条。</w:t>
      </w:r>
    </w:p>
    <w:p>
      <w:pPr>
        <w:pStyle w:val="4"/>
        <w:widowControl/>
        <w:spacing w:before="0" w:beforeAutospacing="0" w:after="0" w:afterAutospacing="0" w:line="600" w:lineRule="atLeast"/>
        <w:ind w:firstLine="640"/>
        <w:jc w:val="both"/>
        <w:rPr>
          <w:rFonts w:hint="eastAsia" w:ascii="仿宋_GB2312" w:hAnsi="仿宋" w:eastAsia="仿宋_GB2312" w:cs="仿宋"/>
          <w:color w:val="2F2F2F"/>
          <w:sz w:val="32"/>
          <w:szCs w:val="32"/>
        </w:rPr>
      </w:pPr>
    </w:p>
    <w:p>
      <w:pPr>
        <w:pStyle w:val="4"/>
        <w:widowControl/>
        <w:spacing w:before="0" w:beforeAutospacing="0" w:after="0" w:afterAutospacing="0" w:line="600" w:lineRule="atLeast"/>
        <w:ind w:firstLine="640"/>
        <w:jc w:val="both"/>
        <w:rPr>
          <w:rFonts w:hint="eastAsia" w:ascii="仿宋_GB2312" w:hAnsi="仿宋" w:eastAsia="仿宋_GB2312" w:cs="仿宋"/>
          <w:color w:val="2F2F2F"/>
          <w:sz w:val="32"/>
          <w:szCs w:val="32"/>
        </w:rPr>
      </w:pPr>
    </w:p>
    <w:p>
      <w:pPr>
        <w:pStyle w:val="4"/>
        <w:widowControl/>
        <w:wordWrap w:val="0"/>
        <w:spacing w:before="0" w:beforeAutospacing="0" w:after="0" w:afterAutospacing="0" w:line="600" w:lineRule="atLeast"/>
        <w:ind w:firstLine="640"/>
        <w:jc w:val="right"/>
        <w:rPr>
          <w:rFonts w:hint="default" w:ascii="仿宋" w:hAnsi="仿宋" w:eastAsia="仿宋" w:cs="仿宋"/>
          <w:color w:val="2F2F2F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2F2F2F"/>
          <w:sz w:val="32"/>
          <w:szCs w:val="32"/>
          <w:lang w:eastAsia="zh-CN"/>
        </w:rPr>
        <w:t>巴彦淖尔市民政局</w:t>
      </w:r>
      <w:r>
        <w:rPr>
          <w:rFonts w:hint="eastAsia" w:ascii="仿宋" w:hAnsi="仿宋" w:eastAsia="仿宋" w:cs="仿宋"/>
          <w:color w:val="2F2F2F"/>
          <w:sz w:val="32"/>
          <w:szCs w:val="32"/>
          <w:lang w:val="en-US" w:eastAsia="zh-CN"/>
        </w:rPr>
        <w:t xml:space="preserve">    </w:t>
      </w:r>
    </w:p>
    <w:p>
      <w:pPr>
        <w:pStyle w:val="4"/>
        <w:widowControl/>
        <w:wordWrap w:val="0"/>
        <w:spacing w:before="0" w:beforeAutospacing="0" w:after="0" w:afterAutospacing="0" w:line="600" w:lineRule="atLeast"/>
        <w:jc w:val="right"/>
        <w:rPr>
          <w:rFonts w:hint="default" w:ascii="仿宋" w:hAnsi="仿宋" w:eastAsia="仿宋" w:cs="仿宋"/>
          <w:color w:val="2F2F2F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2F2F2F"/>
          <w:sz w:val="32"/>
          <w:szCs w:val="32"/>
          <w:lang w:val="en-US" w:eastAsia="zh-CN"/>
        </w:rPr>
        <w:t xml:space="preserve">    2021年1月31日    </w:t>
      </w:r>
    </w:p>
    <w:p>
      <w:pPr>
        <w:pStyle w:val="4"/>
        <w:widowControl/>
        <w:spacing w:before="0" w:beforeAutospacing="0" w:after="0" w:afterAutospacing="0" w:line="600" w:lineRule="atLeast"/>
        <w:ind w:firstLine="640"/>
        <w:jc w:val="both"/>
        <w:rPr>
          <w:rFonts w:ascii="仿宋" w:hAnsi="仿宋" w:eastAsia="仿宋" w:cs="仿宋"/>
          <w:color w:val="2F2F2F"/>
          <w:sz w:val="32"/>
          <w:szCs w:val="32"/>
        </w:rPr>
      </w:pPr>
    </w:p>
    <w:p>
      <w:pPr>
        <w:adjustRightInd w:val="0"/>
        <w:spacing w:line="600" w:lineRule="exact"/>
        <w:ind w:firstLine="640" w:firstLineChars="200"/>
        <w:rPr>
          <w:rFonts w:ascii="仿宋" w:hAnsi="仿宋" w:eastAsia="仿宋" w:cs="仿宋"/>
          <w:color w:val="333333"/>
          <w:kern w:val="0"/>
          <w:sz w:val="32"/>
          <w:szCs w:val="32"/>
        </w:rPr>
      </w:pPr>
    </w:p>
    <w:p>
      <w:pPr>
        <w:adjustRightInd w:val="0"/>
        <w:spacing w:line="600" w:lineRule="exact"/>
        <w:ind w:firstLine="640" w:firstLineChars="200"/>
        <w:rPr>
          <w:rFonts w:ascii="仿宋" w:hAnsi="仿宋" w:eastAsia="仿宋" w:cs="仿宋"/>
          <w:color w:val="333333"/>
          <w:kern w:val="0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744418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3092D2E"/>
    <w:rsid w:val="002C4EDE"/>
    <w:rsid w:val="003C7B82"/>
    <w:rsid w:val="005F4A8E"/>
    <w:rsid w:val="00681C42"/>
    <w:rsid w:val="007240FE"/>
    <w:rsid w:val="008D110B"/>
    <w:rsid w:val="00A9503E"/>
    <w:rsid w:val="00B37D5A"/>
    <w:rsid w:val="00D50B33"/>
    <w:rsid w:val="00DB6D68"/>
    <w:rsid w:val="00E8430C"/>
    <w:rsid w:val="00EB0976"/>
    <w:rsid w:val="00FB77FC"/>
    <w:rsid w:val="05413176"/>
    <w:rsid w:val="06C32E13"/>
    <w:rsid w:val="06DA0071"/>
    <w:rsid w:val="08EA5F7F"/>
    <w:rsid w:val="09615597"/>
    <w:rsid w:val="09FC5E27"/>
    <w:rsid w:val="0A7144A7"/>
    <w:rsid w:val="115B0FA4"/>
    <w:rsid w:val="118D09B4"/>
    <w:rsid w:val="13092D2E"/>
    <w:rsid w:val="14501D91"/>
    <w:rsid w:val="14E54A44"/>
    <w:rsid w:val="24D86112"/>
    <w:rsid w:val="2B2C17A0"/>
    <w:rsid w:val="40A577AD"/>
    <w:rsid w:val="479C0F35"/>
    <w:rsid w:val="48BA793D"/>
    <w:rsid w:val="4AF2332A"/>
    <w:rsid w:val="4C6F7B29"/>
    <w:rsid w:val="57BA60F4"/>
    <w:rsid w:val="5C5946F6"/>
    <w:rsid w:val="5D6B3A4D"/>
    <w:rsid w:val="60985F52"/>
    <w:rsid w:val="67894674"/>
    <w:rsid w:val="67DD352F"/>
    <w:rsid w:val="6EC429AE"/>
    <w:rsid w:val="751B7A61"/>
    <w:rsid w:val="7EAC7C4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347</Words>
  <Characters>1978</Characters>
  <Lines>16</Lines>
  <Paragraphs>4</Paragraphs>
  <TotalTime>19</TotalTime>
  <ScaleCrop>false</ScaleCrop>
  <LinksUpToDate>false</LinksUpToDate>
  <CharactersWithSpaces>2321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2020-04-04T07:19:00Z</dcterms:created>
  <dc:creator>韓 ℡✨</dc:creator>
  <cp:lastModifiedBy>杨晨</cp:lastModifiedBy>
  <cp:lastPrinted>2021-02-05T03:24:31Z</cp:lastPrinted>
  <dcterms:modified xsi:type="dcterms:W3CDTF">2021-02-05T03:25:50Z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