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宋体" w:cs="宋体"/>
          <w:b/>
          <w:bCs/>
          <w:i w:val="0"/>
          <w:iCs w:val="0"/>
          <w:caps w:val="0"/>
          <w:color w:val="auto"/>
          <w:spacing w:val="0"/>
          <w:sz w:val="44"/>
          <w:szCs w:val="44"/>
          <w:shd w:val="clear" w:fill="FFFFFF"/>
        </w:rPr>
      </w:pPr>
      <w:r>
        <w:rPr>
          <w:rFonts w:hint="eastAsia" w:ascii="宋体" w:hAnsi="宋体" w:eastAsia="宋体" w:cs="宋体"/>
          <w:b/>
          <w:bCs/>
          <w:i w:val="0"/>
          <w:iCs w:val="0"/>
          <w:caps w:val="0"/>
          <w:color w:val="auto"/>
          <w:spacing w:val="0"/>
          <w:sz w:val="44"/>
          <w:szCs w:val="44"/>
          <w:shd w:val="clear" w:fill="FFFFFF"/>
          <w:lang w:eastAsia="zh-CN"/>
        </w:rPr>
        <w:t>五原县</w:t>
      </w:r>
      <w:r>
        <w:rPr>
          <w:rFonts w:hint="eastAsia" w:ascii="宋体" w:hAnsi="宋体" w:eastAsia="宋体" w:cs="宋体"/>
          <w:b/>
          <w:bCs/>
          <w:i w:val="0"/>
          <w:iCs w:val="0"/>
          <w:caps w:val="0"/>
          <w:color w:val="auto"/>
          <w:spacing w:val="0"/>
          <w:sz w:val="44"/>
          <w:szCs w:val="44"/>
          <w:shd w:val="clear" w:fill="FFFFFF"/>
        </w:rPr>
        <w:t>卫生健康委员会202</w:t>
      </w:r>
      <w:r>
        <w:rPr>
          <w:rFonts w:hint="eastAsia" w:ascii="宋体" w:hAnsi="宋体" w:eastAsia="宋体" w:cs="宋体"/>
          <w:b/>
          <w:bCs/>
          <w:i w:val="0"/>
          <w:iCs w:val="0"/>
          <w:caps w:val="0"/>
          <w:color w:val="auto"/>
          <w:spacing w:val="0"/>
          <w:sz w:val="44"/>
          <w:szCs w:val="44"/>
          <w:shd w:val="clear" w:fill="FFFFFF"/>
          <w:lang w:val="en-US" w:eastAsia="zh-CN"/>
        </w:rPr>
        <w:t>1</w:t>
      </w:r>
      <w:r>
        <w:rPr>
          <w:rFonts w:hint="eastAsia" w:ascii="宋体" w:hAnsi="宋体" w:eastAsia="宋体" w:cs="宋体"/>
          <w:b/>
          <w:bCs/>
          <w:i w:val="0"/>
          <w:iCs w:val="0"/>
          <w:caps w:val="0"/>
          <w:color w:val="auto"/>
          <w:spacing w:val="0"/>
          <w:sz w:val="44"/>
          <w:szCs w:val="44"/>
          <w:shd w:val="clear" w:fill="FFFFFF"/>
        </w:rPr>
        <w:t>年政府信息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2209" w:firstLineChars="500"/>
        <w:jc w:val="both"/>
        <w:textAlignment w:val="auto"/>
        <w:rPr>
          <w:rFonts w:hint="eastAsia" w:ascii="宋体" w:hAnsi="宋体" w:eastAsia="宋体" w:cs="宋体"/>
          <w:b/>
          <w:bCs/>
          <w:i w:val="0"/>
          <w:iCs w:val="0"/>
          <w:caps w:val="0"/>
          <w:color w:val="auto"/>
          <w:spacing w:val="0"/>
          <w:sz w:val="44"/>
          <w:szCs w:val="44"/>
        </w:rPr>
      </w:pPr>
      <w:r>
        <w:rPr>
          <w:rFonts w:hint="eastAsia" w:ascii="宋体" w:hAnsi="宋体" w:eastAsia="宋体" w:cs="宋体"/>
          <w:b/>
          <w:bCs/>
          <w:i w:val="0"/>
          <w:iCs w:val="0"/>
          <w:caps w:val="0"/>
          <w:color w:val="auto"/>
          <w:spacing w:val="0"/>
          <w:sz w:val="44"/>
          <w:szCs w:val="44"/>
          <w:shd w:val="clear" w:fill="FFFFFF"/>
        </w:rPr>
        <w:t>公开工作年度报告</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450"/>
        <w:textAlignment w:val="auto"/>
        <w:rPr>
          <w:rFonts w:hint="eastAsia" w:ascii="宋体" w:hAnsi="宋体" w:eastAsia="宋体" w:cs="宋体"/>
          <w:b/>
          <w:bCs/>
          <w:i w:val="0"/>
          <w:iCs w:val="0"/>
          <w:caps w:val="0"/>
          <w:color w:val="auto"/>
          <w:spacing w:val="0"/>
          <w:sz w:val="44"/>
          <w:szCs w:val="44"/>
          <w:shd w:val="clear" w:fill="FFFFFF"/>
        </w:rPr>
      </w:pPr>
      <w:r>
        <w:rPr>
          <w:rFonts w:hint="eastAsia" w:ascii="宋体" w:hAnsi="宋体" w:eastAsia="宋体" w:cs="宋体"/>
          <w:b/>
          <w:bCs/>
          <w:i w:val="0"/>
          <w:iCs w:val="0"/>
          <w:caps w:val="0"/>
          <w:color w:val="auto"/>
          <w:spacing w:val="0"/>
          <w:sz w:val="44"/>
          <w:szCs w:val="44"/>
          <w:shd w:val="clear" w:fill="FFFFFF"/>
        </w:rPr>
        <w:t> </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五原县卫健委</w:t>
      </w:r>
      <w:r>
        <w:rPr>
          <w:rFonts w:hint="eastAsia" w:ascii="仿宋_GB2312" w:hAnsi="仿宋_GB2312" w:eastAsia="仿宋_GB2312" w:cs="仿宋_GB2312"/>
          <w:color w:val="auto"/>
          <w:sz w:val="32"/>
          <w:szCs w:val="32"/>
        </w:rPr>
        <w:t>全面贯彻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内蒙古自治区政务公开领导小组关于印发全面推进基层政务公开标准化规范化工作实施意见的通知》内政公发</w:t>
      </w:r>
      <w:r>
        <w:rPr>
          <w:rFonts w:hint="eastAsia" w:ascii="仿宋" w:hAnsi="仿宋" w:eastAsia="仿宋" w:cs="仿宋"/>
          <w:color w:val="auto"/>
          <w:sz w:val="32"/>
          <w:szCs w:val="32"/>
          <w:lang w:val="en-US" w:eastAsia="zh-CN"/>
        </w:rPr>
        <w:t>〔</w:t>
      </w:r>
      <w:r>
        <w:rPr>
          <w:rFonts w:hint="eastAsia" w:ascii="仿宋_GB2312" w:hAnsi="仿宋_GB2312" w:eastAsia="仿宋_GB2312" w:cs="仿宋_GB2312"/>
          <w:color w:val="auto"/>
          <w:sz w:val="32"/>
          <w:szCs w:val="32"/>
          <w:lang w:val="en-US" w:eastAsia="zh-CN"/>
        </w:rPr>
        <w:t>2020</w:t>
      </w:r>
      <w:r>
        <w:rPr>
          <w:rFonts w:hint="eastAsia" w:ascii="仿宋" w:hAnsi="仿宋" w:eastAsia="仿宋" w:cs="仿宋"/>
          <w:color w:val="auto"/>
          <w:sz w:val="32"/>
          <w:szCs w:val="32"/>
          <w:lang w:val="en-US" w:eastAsia="zh-CN"/>
        </w:rPr>
        <w:t>〕</w:t>
      </w:r>
      <w:r>
        <w:rPr>
          <w:rFonts w:hint="eastAsia" w:ascii="仿宋_GB2312" w:hAnsi="仿宋_GB2312" w:eastAsia="仿宋_GB2312" w:cs="仿宋_GB2312"/>
          <w:color w:val="auto"/>
          <w:sz w:val="32"/>
          <w:szCs w:val="32"/>
          <w:lang w:val="en-US" w:eastAsia="zh-CN"/>
        </w:rPr>
        <w:t>2号、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内蒙古自治区政务公开领导小组关于印发2021年政务公开工作要点的通知》内政公发</w:t>
      </w:r>
      <w:r>
        <w:rPr>
          <w:rFonts w:hint="eastAsia" w:ascii="仿宋" w:hAnsi="仿宋" w:eastAsia="仿宋" w:cs="仿宋"/>
          <w:color w:val="auto"/>
          <w:sz w:val="32"/>
          <w:szCs w:val="32"/>
          <w:lang w:val="en-US" w:eastAsia="zh-CN"/>
        </w:rPr>
        <w:t>〔</w:t>
      </w:r>
      <w:r>
        <w:rPr>
          <w:rFonts w:hint="eastAsia" w:ascii="仿宋_GB2312" w:hAnsi="仿宋_GB2312" w:eastAsia="仿宋_GB2312" w:cs="仿宋_GB2312"/>
          <w:color w:val="auto"/>
          <w:sz w:val="32"/>
          <w:szCs w:val="32"/>
          <w:lang w:val="en-US" w:eastAsia="zh-CN"/>
        </w:rPr>
        <w:t>2021</w:t>
      </w:r>
      <w:r>
        <w:rPr>
          <w:rFonts w:hint="eastAsia" w:ascii="仿宋" w:hAnsi="仿宋" w:eastAsia="仿宋" w:cs="仿宋"/>
          <w:color w:val="auto"/>
          <w:sz w:val="32"/>
          <w:szCs w:val="32"/>
          <w:lang w:val="en-US" w:eastAsia="zh-CN"/>
        </w:rPr>
        <w:t>〕</w:t>
      </w:r>
      <w:r>
        <w:rPr>
          <w:rFonts w:hint="eastAsia" w:ascii="仿宋_GB2312" w:hAnsi="仿宋_GB2312" w:eastAsia="仿宋_GB2312" w:cs="仿宋_GB2312"/>
          <w:color w:val="auto"/>
          <w:sz w:val="32"/>
          <w:szCs w:val="32"/>
          <w:lang w:val="en-US" w:eastAsia="zh-CN"/>
        </w:rPr>
        <w:t>1号、以及巴彦淖尔市、县政务公开领导小组</w:t>
      </w:r>
      <w:r>
        <w:rPr>
          <w:rFonts w:hint="eastAsia" w:ascii="仿宋_GB2312" w:hAnsi="仿宋_GB2312" w:eastAsia="仿宋_GB2312" w:cs="仿宋_GB2312"/>
          <w:color w:val="auto"/>
          <w:sz w:val="32"/>
          <w:szCs w:val="32"/>
        </w:rPr>
        <w:t>有关部署</w:t>
      </w:r>
      <w:r>
        <w:rPr>
          <w:rFonts w:hint="eastAsia" w:ascii="仿宋_GB2312" w:hAnsi="仿宋_GB2312" w:eastAsia="仿宋_GB2312" w:cs="仿宋_GB2312"/>
          <w:color w:val="auto"/>
          <w:sz w:val="32"/>
          <w:szCs w:val="32"/>
          <w:lang w:val="en-US" w:eastAsia="zh-CN"/>
        </w:rPr>
        <w:t>要求，积极开展</w:t>
      </w:r>
      <w:r>
        <w:rPr>
          <w:rFonts w:hint="eastAsia" w:ascii="仿宋_GB2312" w:hAnsi="仿宋_GB2312" w:eastAsia="仿宋_GB2312" w:cs="仿宋_GB2312"/>
          <w:color w:val="auto"/>
          <w:sz w:val="32"/>
          <w:szCs w:val="32"/>
        </w:rPr>
        <w:t>政府信息公开工作，</w:t>
      </w:r>
      <w:r>
        <w:rPr>
          <w:rFonts w:hint="eastAsia" w:ascii="仿宋_GB2312" w:hAnsi="仿宋_GB2312" w:eastAsia="仿宋_GB2312" w:cs="仿宋_GB2312"/>
          <w:color w:val="auto"/>
          <w:sz w:val="32"/>
          <w:szCs w:val="32"/>
          <w:lang w:val="en-US" w:eastAsia="zh-CN"/>
        </w:rPr>
        <w:t>现将2021年我委政务公开工作报告如下</w:t>
      </w:r>
      <w:r>
        <w:rPr>
          <w:rFonts w:hint="eastAsia" w:ascii="仿宋_GB2312" w:hAnsi="仿宋_GB2312" w:eastAsia="仿宋_GB2312" w:cs="仿宋_GB2312"/>
          <w:color w:val="auto"/>
          <w:sz w:val="32"/>
          <w:szCs w:val="32"/>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rPr>
        <w:t>一、总体情况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64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eastAsia="zh-CN"/>
        </w:rPr>
        <w:t>五原县</w:t>
      </w:r>
      <w:r>
        <w:rPr>
          <w:rFonts w:hint="eastAsia" w:ascii="仿宋_GB2312" w:hAnsi="仿宋_GB2312" w:eastAsia="仿宋_GB2312" w:cs="仿宋_GB2312"/>
          <w:i w:val="0"/>
          <w:iCs w:val="0"/>
          <w:caps w:val="0"/>
          <w:color w:val="auto"/>
          <w:spacing w:val="0"/>
          <w:sz w:val="32"/>
          <w:szCs w:val="32"/>
          <w:shd w:val="clear" w:fill="FFFFFF"/>
        </w:rPr>
        <w:t>卫生健康委政府信息公开工作以《政府信息公开条例》为遵循，贯彻落实国务院</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自治区</w:t>
      </w:r>
      <w:r>
        <w:rPr>
          <w:rFonts w:hint="eastAsia" w:ascii="仿宋_GB2312" w:hAnsi="仿宋_GB2312" w:eastAsia="仿宋_GB2312" w:cs="仿宋_GB2312"/>
          <w:i w:val="0"/>
          <w:iCs w:val="0"/>
          <w:caps w:val="0"/>
          <w:color w:val="auto"/>
          <w:spacing w:val="0"/>
          <w:sz w:val="32"/>
          <w:szCs w:val="32"/>
          <w:shd w:val="clear" w:fill="FFFFFF"/>
          <w:lang w:eastAsia="zh-CN"/>
        </w:rPr>
        <w:t>、市、县</w:t>
      </w:r>
      <w:r>
        <w:rPr>
          <w:rFonts w:hint="eastAsia" w:ascii="仿宋_GB2312" w:hAnsi="仿宋_GB2312" w:eastAsia="仿宋_GB2312" w:cs="仿宋_GB2312"/>
          <w:i w:val="0"/>
          <w:iCs w:val="0"/>
          <w:caps w:val="0"/>
          <w:color w:val="auto"/>
          <w:spacing w:val="0"/>
          <w:sz w:val="32"/>
          <w:szCs w:val="32"/>
          <w:shd w:val="clear" w:fill="FFFFFF"/>
        </w:rPr>
        <w:t>政府信息公开工作部署要求，紧密围绕卫生健康工作</w:t>
      </w:r>
      <w:r>
        <w:rPr>
          <w:rFonts w:hint="eastAsia" w:ascii="仿宋_GB2312" w:hAnsi="仿宋_GB2312" w:eastAsia="仿宋_GB2312" w:cs="仿宋_GB2312"/>
          <w:i w:val="0"/>
          <w:iCs w:val="0"/>
          <w:caps w:val="0"/>
          <w:color w:val="auto"/>
          <w:spacing w:val="0"/>
          <w:sz w:val="32"/>
          <w:szCs w:val="32"/>
          <w:shd w:val="clear" w:fill="FFFFFF"/>
          <w:lang w:eastAsia="zh-CN"/>
        </w:rPr>
        <w:t>以及</w:t>
      </w:r>
      <w:r>
        <w:rPr>
          <w:rFonts w:hint="eastAsia" w:ascii="仿宋_GB2312" w:hAnsi="仿宋_GB2312" w:eastAsia="仿宋_GB2312" w:cs="仿宋_GB2312"/>
          <w:i w:val="0"/>
          <w:iCs w:val="0"/>
          <w:caps w:val="0"/>
          <w:color w:val="auto"/>
          <w:spacing w:val="0"/>
          <w:sz w:val="32"/>
          <w:szCs w:val="32"/>
          <w:shd w:val="clear" w:fill="FFFFFF"/>
        </w:rPr>
        <w:t>新冠肺炎疫情防控工作实际，坚持精心制作、精准推送，服务公众、服务大局，通过政府网站等新媒体渠道做好发布、解读等各项工作，以公开促落实、促规范、促服务，不断提升政府信息公开工作质量和实效。</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（一）主动公开情况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一是</w:t>
      </w:r>
      <w:r>
        <w:rPr>
          <w:rFonts w:hint="eastAsia" w:ascii="仿宋_GB2312" w:hAnsi="仿宋_GB2312" w:eastAsia="仿宋_GB2312" w:cs="仿宋_GB2312"/>
          <w:color w:val="auto"/>
          <w:sz w:val="32"/>
          <w:szCs w:val="32"/>
          <w:lang w:val="en-US" w:eastAsia="zh-CN"/>
        </w:rPr>
        <w:t>更新规范了五原县卫健委政府信息公开指南，2021年底通过五原县</w:t>
      </w:r>
      <w:r>
        <w:rPr>
          <w:rFonts w:hint="eastAsia" w:ascii="仿宋_GB2312" w:hAnsi="仿宋_GB2312" w:eastAsia="仿宋_GB2312" w:cs="仿宋_GB2312"/>
          <w:color w:val="auto"/>
          <w:sz w:val="32"/>
          <w:szCs w:val="32"/>
        </w:rPr>
        <w:t>政府门户网站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巴彦淖尔政务公开平台发布各类</w:t>
      </w:r>
      <w:r>
        <w:rPr>
          <w:rFonts w:hint="eastAsia" w:ascii="仿宋_GB2312" w:hAnsi="仿宋_GB2312" w:eastAsia="仿宋_GB2312" w:cs="仿宋_GB2312"/>
          <w:color w:val="auto"/>
          <w:sz w:val="32"/>
          <w:szCs w:val="32"/>
        </w:rPr>
        <w:t>政府信息</w:t>
      </w:r>
      <w:r>
        <w:rPr>
          <w:rFonts w:hint="eastAsia" w:ascii="仿宋_GB2312" w:hAnsi="仿宋_GB2312" w:eastAsia="仿宋_GB2312" w:cs="仿宋_GB2312"/>
          <w:color w:val="auto"/>
          <w:sz w:val="32"/>
          <w:szCs w:val="32"/>
          <w:lang w:val="en-US" w:eastAsia="zh-CN"/>
        </w:rPr>
        <w:t>151</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其中重点领域信息公开10条，通过政务新媒体发布信息823余条，通过政府网站政民互动、“12345”便民服务热线回应社会关切34件；二是</w:t>
      </w:r>
      <w:r>
        <w:rPr>
          <w:rFonts w:hint="eastAsia" w:ascii="仿宋_GB2312" w:hAnsi="仿宋_GB2312" w:eastAsia="仿宋_GB2312" w:cs="仿宋_GB2312"/>
          <w:color w:val="auto"/>
          <w:sz w:val="32"/>
          <w:szCs w:val="32"/>
        </w:rPr>
        <w:t>加强改进政策解读工作，坚持“谁起草谁解读”原则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对规范性文件和涉及群众切身利益政策“应解读、尽解读”</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val="en-US" w:eastAsia="zh-CN"/>
        </w:rPr>
        <w:t>（二）</w:t>
      </w:r>
      <w:r>
        <w:rPr>
          <w:rFonts w:hint="eastAsia" w:ascii="楷体" w:hAnsi="楷体" w:eastAsia="楷体" w:cs="楷体"/>
          <w:b/>
          <w:bCs/>
          <w:color w:val="auto"/>
          <w:sz w:val="32"/>
          <w:szCs w:val="32"/>
        </w:rPr>
        <w:t>依申请公开情况</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进一步规范依申请公开。</w:t>
      </w:r>
      <w:r>
        <w:rPr>
          <w:rFonts w:hint="eastAsia" w:ascii="仿宋_GB2312" w:hAnsi="仿宋_GB2312" w:eastAsia="仿宋_GB2312" w:cs="仿宋_GB2312"/>
          <w:color w:val="auto"/>
          <w:sz w:val="32"/>
          <w:szCs w:val="32"/>
        </w:rPr>
        <w:t>从申请的登记、审核、办理、答复、归档等环节对政府信息公开申请办理工作进行规范。</w:t>
      </w:r>
      <w:r>
        <w:rPr>
          <w:rFonts w:hint="eastAsia" w:ascii="仿宋_GB2312" w:hAnsi="仿宋_GB2312" w:eastAsia="仿宋_GB2312" w:cs="仿宋_GB2312"/>
          <w:color w:val="auto"/>
          <w:sz w:val="32"/>
          <w:szCs w:val="32"/>
          <w:lang w:val="en-US" w:eastAsia="zh-CN"/>
        </w:rPr>
        <w:t>为充分保障基层广大群众、各类社会组织机构的知情权，我委依申请公开专人负责，确保依申请公开得到及时办理，截止12月底，暂未有依申请公开情况。</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 xml:space="preserve">基层政务公开标准化规范化建设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 w:hAnsi="仿宋" w:eastAsia="仿宋" w:cs="仿宋"/>
          <w:color w:val="auto"/>
          <w:sz w:val="32"/>
          <w:szCs w:val="32"/>
          <w:highlight w:val="none"/>
        </w:rPr>
        <w:t>根据</w:t>
      </w:r>
      <w:r>
        <w:rPr>
          <w:rFonts w:hint="eastAsia" w:ascii="仿宋_GB2312" w:hAnsi="仿宋_GB2312" w:eastAsia="仿宋_GB2312" w:cs="仿宋_GB2312"/>
          <w:i w:val="0"/>
          <w:iCs w:val="0"/>
          <w:caps w:val="0"/>
          <w:color w:val="auto"/>
          <w:spacing w:val="0"/>
          <w:sz w:val="32"/>
          <w:szCs w:val="32"/>
          <w:shd w:val="clear" w:fill="FFFFFF"/>
        </w:rPr>
        <w:t>《政府信息公开条例》</w:t>
      </w:r>
      <w:r>
        <w:rPr>
          <w:rFonts w:hint="eastAsia" w:ascii="仿宋_GB2312" w:hAnsi="仿宋_GB2312" w:eastAsia="仿宋_GB2312" w:cs="仿宋_GB2312"/>
          <w:i w:val="0"/>
          <w:iCs w:val="0"/>
          <w:caps w:val="0"/>
          <w:color w:val="auto"/>
          <w:spacing w:val="0"/>
          <w:sz w:val="32"/>
          <w:szCs w:val="32"/>
          <w:shd w:val="clear" w:fill="FFFFFF"/>
          <w:lang w:eastAsia="zh-CN"/>
        </w:rPr>
        <w:t>和</w:t>
      </w:r>
      <w:r>
        <w:rPr>
          <w:rFonts w:hint="eastAsia" w:ascii="仿宋" w:hAnsi="仿宋" w:eastAsia="仿宋" w:cs="仿宋"/>
          <w:color w:val="auto"/>
          <w:sz w:val="32"/>
          <w:szCs w:val="32"/>
          <w:highlight w:val="none"/>
        </w:rPr>
        <w:t>政</w:t>
      </w:r>
      <w:r>
        <w:rPr>
          <w:rFonts w:hint="eastAsia" w:ascii="仿宋" w:hAnsi="仿宋" w:eastAsia="仿宋" w:cs="仿宋"/>
          <w:color w:val="auto"/>
          <w:sz w:val="32"/>
          <w:szCs w:val="32"/>
          <w:highlight w:val="none"/>
          <w:lang w:eastAsia="zh-CN"/>
        </w:rPr>
        <w:t>府信息</w:t>
      </w:r>
      <w:r>
        <w:rPr>
          <w:rFonts w:hint="eastAsia" w:ascii="仿宋" w:hAnsi="仿宋" w:eastAsia="仿宋" w:cs="仿宋"/>
          <w:color w:val="auto"/>
          <w:sz w:val="32"/>
          <w:szCs w:val="32"/>
          <w:highlight w:val="none"/>
        </w:rPr>
        <w:t>公开</w:t>
      </w:r>
      <w:r>
        <w:rPr>
          <w:rFonts w:hint="eastAsia" w:ascii="仿宋" w:hAnsi="仿宋" w:eastAsia="仿宋" w:cs="仿宋"/>
          <w:color w:val="auto"/>
          <w:sz w:val="32"/>
          <w:szCs w:val="32"/>
          <w:highlight w:val="none"/>
          <w:lang w:eastAsia="zh-CN"/>
        </w:rPr>
        <w:t>相关</w:t>
      </w:r>
      <w:r>
        <w:rPr>
          <w:rFonts w:hint="eastAsia" w:ascii="仿宋" w:hAnsi="仿宋" w:eastAsia="仿宋" w:cs="仿宋"/>
          <w:color w:val="auto"/>
          <w:sz w:val="32"/>
          <w:szCs w:val="32"/>
          <w:highlight w:val="none"/>
        </w:rPr>
        <w:t>文件要求，明确政</w:t>
      </w:r>
      <w:r>
        <w:rPr>
          <w:rFonts w:hint="eastAsia" w:ascii="仿宋" w:hAnsi="仿宋" w:eastAsia="仿宋" w:cs="仿宋"/>
          <w:color w:val="auto"/>
          <w:sz w:val="32"/>
          <w:szCs w:val="32"/>
          <w:highlight w:val="none"/>
          <w:lang w:eastAsia="zh-CN"/>
        </w:rPr>
        <w:t>府信息公开</w:t>
      </w:r>
      <w:r>
        <w:rPr>
          <w:rFonts w:hint="eastAsia" w:ascii="仿宋" w:hAnsi="仿宋" w:eastAsia="仿宋" w:cs="仿宋"/>
          <w:color w:val="auto"/>
          <w:sz w:val="32"/>
          <w:szCs w:val="32"/>
          <w:highlight w:val="none"/>
        </w:rPr>
        <w:t>基本原则，加强对政</w:t>
      </w:r>
      <w:r>
        <w:rPr>
          <w:rFonts w:hint="eastAsia" w:ascii="仿宋" w:hAnsi="仿宋" w:eastAsia="仿宋" w:cs="仿宋"/>
          <w:color w:val="auto"/>
          <w:sz w:val="32"/>
          <w:szCs w:val="32"/>
          <w:highlight w:val="none"/>
          <w:lang w:eastAsia="zh-CN"/>
        </w:rPr>
        <w:t>务</w:t>
      </w:r>
      <w:r>
        <w:rPr>
          <w:rFonts w:hint="eastAsia" w:ascii="仿宋" w:hAnsi="仿宋" w:eastAsia="仿宋" w:cs="仿宋"/>
          <w:color w:val="auto"/>
          <w:sz w:val="32"/>
          <w:szCs w:val="32"/>
          <w:highlight w:val="none"/>
        </w:rPr>
        <w:t>信息</w:t>
      </w:r>
      <w:r>
        <w:rPr>
          <w:rFonts w:hint="eastAsia" w:ascii="仿宋" w:hAnsi="仿宋" w:eastAsia="仿宋" w:cs="仿宋"/>
          <w:color w:val="auto"/>
          <w:sz w:val="32"/>
          <w:szCs w:val="32"/>
          <w:highlight w:val="none"/>
          <w:lang w:eastAsia="zh-CN"/>
        </w:rPr>
        <w:t>公开</w:t>
      </w:r>
      <w:r>
        <w:rPr>
          <w:rFonts w:hint="eastAsia" w:ascii="仿宋" w:hAnsi="仿宋" w:eastAsia="仿宋" w:cs="仿宋"/>
          <w:color w:val="auto"/>
          <w:sz w:val="32"/>
          <w:szCs w:val="32"/>
          <w:highlight w:val="none"/>
        </w:rPr>
        <w:t>的管理。一是进一步规范了信息发布流程，加强信息发布前审查，强化网站信息安全管理</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建立健全政</w:t>
      </w:r>
      <w:r>
        <w:rPr>
          <w:rFonts w:hint="eastAsia" w:ascii="仿宋" w:hAnsi="仿宋" w:eastAsia="仿宋" w:cs="仿宋"/>
          <w:color w:val="auto"/>
          <w:sz w:val="32"/>
          <w:szCs w:val="32"/>
          <w:highlight w:val="none"/>
          <w:lang w:eastAsia="zh-CN"/>
        </w:rPr>
        <w:t>务</w:t>
      </w:r>
      <w:r>
        <w:rPr>
          <w:rFonts w:hint="eastAsia" w:ascii="仿宋" w:hAnsi="仿宋" w:eastAsia="仿宋" w:cs="仿宋"/>
          <w:color w:val="auto"/>
          <w:sz w:val="32"/>
          <w:szCs w:val="32"/>
          <w:highlight w:val="none"/>
        </w:rPr>
        <w:t>公开审查机制和工作规程。二是对政</w:t>
      </w:r>
      <w:r>
        <w:rPr>
          <w:rFonts w:hint="eastAsia" w:ascii="仿宋" w:hAnsi="仿宋" w:eastAsia="仿宋" w:cs="仿宋"/>
          <w:color w:val="auto"/>
          <w:sz w:val="32"/>
          <w:szCs w:val="32"/>
          <w:highlight w:val="none"/>
          <w:lang w:eastAsia="zh-CN"/>
        </w:rPr>
        <w:t>务公开</w:t>
      </w:r>
      <w:r>
        <w:rPr>
          <w:rFonts w:hint="eastAsia" w:ascii="仿宋" w:hAnsi="仿宋" w:eastAsia="仿宋" w:cs="仿宋"/>
          <w:color w:val="auto"/>
          <w:sz w:val="32"/>
          <w:szCs w:val="32"/>
          <w:highlight w:val="none"/>
        </w:rPr>
        <w:t>信息要定期评估、动态调整，对所公开的信息进行整理，立改废、有废止的及时删除，进一步提高公开信息的时效性与准确性。三是确保公开内容的合法性、准确性、严肃性，确保涉密信息不上网，上网信息不涉密，保证信息公开零泄密。</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rPr>
        <w:t>）政府信息管理情况</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依托</w:t>
      </w:r>
      <w:r>
        <w:rPr>
          <w:rFonts w:hint="eastAsia" w:ascii="仿宋_GB2312" w:hAnsi="仿宋_GB2312" w:eastAsia="仿宋_GB2312" w:cs="仿宋_GB2312"/>
          <w:color w:val="auto"/>
          <w:sz w:val="32"/>
          <w:szCs w:val="32"/>
          <w:lang w:val="en-US" w:eastAsia="zh-CN"/>
        </w:rPr>
        <w:t>巴彦淖尔政务公开平台</w:t>
      </w:r>
      <w:r>
        <w:rPr>
          <w:rFonts w:hint="eastAsia" w:ascii="仿宋_GB2312" w:hAnsi="仿宋_GB2312" w:eastAsia="仿宋_GB2312" w:cs="仿宋_GB2312"/>
          <w:color w:val="auto"/>
          <w:sz w:val="32"/>
          <w:szCs w:val="32"/>
        </w:rPr>
        <w:t>建设，</w:t>
      </w:r>
      <w:r>
        <w:rPr>
          <w:rFonts w:hint="eastAsia" w:ascii="仿宋" w:hAnsi="仿宋" w:eastAsia="仿宋" w:cs="仿宋"/>
          <w:color w:val="auto"/>
          <w:sz w:val="32"/>
          <w:szCs w:val="32"/>
          <w:highlight w:val="none"/>
        </w:rPr>
        <w:t>拓宽信息公开渠道，以政</w:t>
      </w:r>
      <w:r>
        <w:rPr>
          <w:rFonts w:hint="eastAsia" w:ascii="仿宋" w:hAnsi="仿宋" w:eastAsia="仿宋" w:cs="仿宋"/>
          <w:color w:val="auto"/>
          <w:sz w:val="32"/>
          <w:szCs w:val="32"/>
          <w:highlight w:val="none"/>
          <w:lang w:eastAsia="zh-CN"/>
        </w:rPr>
        <w:t>府信息</w:t>
      </w:r>
      <w:r>
        <w:rPr>
          <w:rFonts w:hint="eastAsia" w:ascii="仿宋" w:hAnsi="仿宋" w:eastAsia="仿宋" w:cs="仿宋"/>
          <w:color w:val="auto"/>
          <w:sz w:val="32"/>
          <w:szCs w:val="32"/>
          <w:highlight w:val="none"/>
        </w:rPr>
        <w:t>网络平台为载体，</w:t>
      </w:r>
      <w:r>
        <w:rPr>
          <w:rFonts w:hint="eastAsia" w:ascii="仿宋_GB2312" w:hAnsi="仿宋_GB2312" w:eastAsia="仿宋_GB2312" w:cs="仿宋_GB2312"/>
          <w:color w:val="auto"/>
          <w:sz w:val="32"/>
          <w:szCs w:val="32"/>
          <w:lang w:eastAsia="zh-CN"/>
        </w:rPr>
        <w:t>我委</w:t>
      </w:r>
      <w:r>
        <w:rPr>
          <w:rFonts w:hint="eastAsia" w:ascii="仿宋" w:hAnsi="仿宋" w:eastAsia="仿宋" w:cs="仿宋"/>
          <w:color w:val="auto"/>
          <w:sz w:val="32"/>
          <w:szCs w:val="32"/>
          <w:highlight w:val="none"/>
          <w:lang w:eastAsia="zh-CN"/>
        </w:rPr>
        <w:t>充分发挥</w:t>
      </w:r>
      <w:r>
        <w:rPr>
          <w:rFonts w:hint="eastAsia" w:ascii="仿宋" w:hAnsi="仿宋" w:eastAsia="仿宋" w:cs="仿宋"/>
          <w:color w:val="auto"/>
          <w:sz w:val="32"/>
          <w:szCs w:val="32"/>
          <w:highlight w:val="none"/>
        </w:rPr>
        <w:t>政务公开平台</w:t>
      </w:r>
      <w:r>
        <w:rPr>
          <w:rFonts w:hint="eastAsia" w:ascii="仿宋" w:hAnsi="仿宋" w:eastAsia="仿宋" w:cs="仿宋"/>
          <w:color w:val="auto"/>
          <w:sz w:val="32"/>
          <w:szCs w:val="32"/>
          <w:highlight w:val="none"/>
          <w:lang w:eastAsia="zh-CN"/>
        </w:rPr>
        <w:t>作用积极</w:t>
      </w:r>
      <w:r>
        <w:rPr>
          <w:rFonts w:hint="eastAsia" w:ascii="仿宋" w:hAnsi="仿宋" w:eastAsia="仿宋" w:cs="仿宋"/>
          <w:color w:val="auto"/>
          <w:sz w:val="32"/>
          <w:szCs w:val="32"/>
          <w:highlight w:val="none"/>
        </w:rPr>
        <w:t>公开各项</w:t>
      </w:r>
      <w:r>
        <w:rPr>
          <w:rFonts w:hint="eastAsia" w:ascii="仿宋" w:hAnsi="仿宋" w:eastAsia="仿宋" w:cs="仿宋"/>
          <w:color w:val="auto"/>
          <w:sz w:val="32"/>
          <w:szCs w:val="32"/>
          <w:highlight w:val="none"/>
          <w:lang w:eastAsia="zh-CN"/>
        </w:rPr>
        <w:t>卫生健康</w:t>
      </w:r>
      <w:r>
        <w:rPr>
          <w:rFonts w:hint="eastAsia" w:ascii="仿宋" w:hAnsi="仿宋" w:eastAsia="仿宋" w:cs="仿宋"/>
          <w:color w:val="auto"/>
          <w:sz w:val="32"/>
          <w:szCs w:val="32"/>
          <w:highlight w:val="none"/>
        </w:rPr>
        <w:t>工作，确保信息的时效性</w:t>
      </w:r>
      <w:r>
        <w:rPr>
          <w:rFonts w:hint="eastAsia" w:ascii="仿宋_GB2312" w:hAnsi="仿宋_GB2312" w:eastAsia="仿宋_GB2312" w:cs="仿宋_GB2312"/>
          <w:color w:val="auto"/>
          <w:sz w:val="32"/>
          <w:szCs w:val="32"/>
          <w:lang w:val="en-US" w:eastAsia="zh-CN"/>
        </w:rPr>
        <w:t>，为</w:t>
      </w:r>
      <w:r>
        <w:rPr>
          <w:rFonts w:hint="eastAsia" w:ascii="仿宋_GB2312" w:hAnsi="仿宋_GB2312" w:eastAsia="仿宋_GB2312" w:cs="仿宋_GB2312"/>
          <w:color w:val="auto"/>
          <w:sz w:val="32"/>
          <w:szCs w:val="32"/>
        </w:rPr>
        <w:t>企业群众</w:t>
      </w:r>
      <w:r>
        <w:rPr>
          <w:rFonts w:hint="eastAsia" w:ascii="仿宋_GB2312" w:hAnsi="仿宋_GB2312" w:eastAsia="仿宋_GB2312" w:cs="仿宋_GB2312"/>
          <w:color w:val="auto"/>
          <w:sz w:val="32"/>
          <w:szCs w:val="32"/>
          <w:lang w:val="en-US" w:eastAsia="zh-CN"/>
        </w:rPr>
        <w:t>提供及时高效的</w:t>
      </w:r>
      <w:r>
        <w:rPr>
          <w:rFonts w:hint="eastAsia" w:ascii="仿宋_GB2312" w:hAnsi="仿宋_GB2312" w:eastAsia="仿宋_GB2312" w:cs="仿宋_GB2312"/>
          <w:color w:val="auto"/>
          <w:sz w:val="32"/>
          <w:szCs w:val="32"/>
        </w:rPr>
        <w:t>政府信息，</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rPr>
        <w:t>提升政府信息</w:t>
      </w:r>
      <w:r>
        <w:rPr>
          <w:rFonts w:hint="eastAsia" w:ascii="仿宋_GB2312" w:hAnsi="仿宋_GB2312" w:eastAsia="仿宋_GB2312" w:cs="仿宋_GB2312"/>
          <w:color w:val="auto"/>
          <w:sz w:val="32"/>
          <w:szCs w:val="32"/>
          <w:lang w:val="en-US" w:eastAsia="zh-CN"/>
        </w:rPr>
        <w:t>公开</w:t>
      </w:r>
      <w:r>
        <w:rPr>
          <w:rFonts w:hint="eastAsia" w:ascii="仿宋_GB2312" w:hAnsi="仿宋_GB2312" w:eastAsia="仿宋_GB2312" w:cs="仿宋_GB2312"/>
          <w:color w:val="auto"/>
          <w:sz w:val="32"/>
          <w:szCs w:val="32"/>
        </w:rPr>
        <w:t>的能力</w:t>
      </w:r>
      <w:r>
        <w:rPr>
          <w:rFonts w:hint="eastAsia" w:ascii="仿宋_GB2312" w:hAnsi="仿宋_GB2312" w:eastAsia="仿宋_GB2312" w:cs="仿宋_GB2312"/>
          <w:color w:val="auto"/>
          <w:sz w:val="32"/>
          <w:szCs w:val="32"/>
          <w:lang w:val="en-US" w:eastAsia="zh-CN"/>
        </w:rPr>
        <w:t>和水平</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五</w:t>
      </w:r>
      <w:r>
        <w:rPr>
          <w:rFonts w:hint="eastAsia" w:ascii="楷体" w:hAnsi="楷体" w:eastAsia="楷体" w:cs="楷体"/>
          <w:b/>
          <w:bCs/>
          <w:color w:val="auto"/>
          <w:sz w:val="32"/>
          <w:szCs w:val="32"/>
        </w:rPr>
        <w:t>）平台建设情况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严格</w:t>
      </w:r>
      <w:r>
        <w:rPr>
          <w:rFonts w:hint="eastAsia" w:ascii="仿宋_GB2312" w:hAnsi="仿宋_GB2312" w:eastAsia="仿宋_GB2312" w:cs="仿宋_GB2312"/>
          <w:color w:val="auto"/>
          <w:sz w:val="32"/>
          <w:szCs w:val="32"/>
          <w:lang w:val="en-US" w:eastAsia="zh-CN"/>
        </w:rPr>
        <w:t>按照政府</w:t>
      </w:r>
      <w:r>
        <w:rPr>
          <w:rFonts w:hint="eastAsia" w:ascii="仿宋_GB2312" w:hAnsi="仿宋_GB2312" w:eastAsia="仿宋_GB2312" w:cs="仿宋_GB2312"/>
          <w:color w:val="auto"/>
          <w:sz w:val="32"/>
          <w:szCs w:val="32"/>
        </w:rPr>
        <w:t>网站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政务公开平台相关要求，认真做好信息发布工作，积极</w:t>
      </w:r>
      <w:r>
        <w:rPr>
          <w:rFonts w:hint="eastAsia" w:ascii="仿宋_GB2312" w:hAnsi="仿宋_GB2312" w:eastAsia="仿宋_GB2312" w:cs="仿宋_GB2312"/>
          <w:i w:val="0"/>
          <w:iCs w:val="0"/>
          <w:caps w:val="0"/>
          <w:color w:val="auto"/>
          <w:spacing w:val="0"/>
          <w:sz w:val="32"/>
          <w:szCs w:val="32"/>
          <w:shd w:val="clear" w:fill="FFFFFF"/>
        </w:rPr>
        <w:t>参加</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政务服务局组织开展的政务公开、政府信息公开、规范性文件审核培训</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加强与各</w:t>
      </w:r>
      <w:r>
        <w:rPr>
          <w:rFonts w:hint="eastAsia" w:ascii="仿宋_GB2312" w:hAnsi="仿宋_GB2312" w:eastAsia="仿宋_GB2312" w:cs="仿宋_GB2312"/>
          <w:i w:val="0"/>
          <w:iCs w:val="0"/>
          <w:caps w:val="0"/>
          <w:color w:val="auto"/>
          <w:spacing w:val="0"/>
          <w:sz w:val="32"/>
          <w:szCs w:val="32"/>
          <w:shd w:val="clear" w:fill="FFFFFF"/>
          <w:lang w:eastAsia="zh-CN"/>
        </w:rPr>
        <w:t>旗县区</w:t>
      </w:r>
      <w:r>
        <w:rPr>
          <w:rFonts w:hint="eastAsia" w:ascii="仿宋_GB2312" w:hAnsi="仿宋_GB2312" w:eastAsia="仿宋_GB2312" w:cs="仿宋_GB2312"/>
          <w:i w:val="0"/>
          <w:iCs w:val="0"/>
          <w:caps w:val="0"/>
          <w:color w:val="auto"/>
          <w:spacing w:val="0"/>
          <w:sz w:val="32"/>
          <w:szCs w:val="32"/>
          <w:shd w:val="clear" w:fill="FFFFFF"/>
        </w:rPr>
        <w:t>卫生健康委的沟通协调，学习借鉴先进经验，不断提高政府信息公开工作水平。</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监督保障情况</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为切实做好政务公开工作，我委</w:t>
      </w:r>
      <w:r>
        <w:rPr>
          <w:rFonts w:hint="eastAsia" w:ascii="仿宋_GB2312" w:hAnsi="仿宋_GB2312" w:eastAsia="仿宋_GB2312" w:cs="仿宋_GB2312"/>
          <w:color w:val="auto"/>
          <w:sz w:val="32"/>
          <w:szCs w:val="32"/>
          <w:shd w:val="clear" w:fill="FFFFFF"/>
        </w:rPr>
        <w:t>进一步优化公开指南，细化公开范围和目录</w:t>
      </w:r>
      <w:r>
        <w:rPr>
          <w:rFonts w:hint="eastAsia" w:ascii="仿宋_GB2312" w:hAnsi="仿宋_GB2312" w:eastAsia="仿宋_GB2312" w:cs="仿宋_GB2312"/>
          <w:color w:val="auto"/>
          <w:sz w:val="32"/>
          <w:szCs w:val="32"/>
          <w:shd w:val="clear" w:fill="FFFFFF"/>
          <w:lang w:eastAsia="zh-CN"/>
        </w:rPr>
        <w:t>，</w:t>
      </w:r>
      <w:r>
        <w:rPr>
          <w:rFonts w:hint="eastAsia" w:ascii="仿宋_GB2312" w:hAnsi="仿宋_GB2312" w:eastAsia="仿宋_GB2312" w:cs="仿宋_GB2312"/>
          <w:color w:val="auto"/>
          <w:sz w:val="32"/>
          <w:szCs w:val="32"/>
          <w:shd w:val="clear" w:fill="FFFFFF"/>
        </w:rPr>
        <w:t>建立</w:t>
      </w:r>
      <w:r>
        <w:rPr>
          <w:rFonts w:hint="eastAsia" w:ascii="仿宋_GB2312" w:hAnsi="仿宋_GB2312" w:eastAsia="仿宋_GB2312" w:cs="仿宋_GB2312"/>
          <w:color w:val="auto"/>
          <w:sz w:val="32"/>
          <w:szCs w:val="32"/>
          <w:shd w:val="clear" w:fill="FFFFFF"/>
          <w:lang w:eastAsia="zh-CN"/>
        </w:rPr>
        <w:t>健全</w:t>
      </w:r>
      <w:r>
        <w:rPr>
          <w:rFonts w:hint="eastAsia" w:ascii="仿宋_GB2312" w:hAnsi="仿宋_GB2312" w:eastAsia="仿宋_GB2312" w:cs="仿宋_GB2312"/>
          <w:color w:val="auto"/>
          <w:sz w:val="32"/>
          <w:szCs w:val="32"/>
          <w:shd w:val="clear" w:fill="FFFFFF"/>
        </w:rPr>
        <w:t>政府信息公开机制，</w:t>
      </w:r>
      <w:r>
        <w:rPr>
          <w:rFonts w:hint="eastAsia" w:ascii="仿宋_GB2312" w:hAnsi="仿宋_GB2312" w:eastAsia="仿宋_GB2312" w:cs="仿宋_GB2312"/>
          <w:color w:val="auto"/>
          <w:sz w:val="32"/>
          <w:szCs w:val="32"/>
          <w:shd w:val="clear" w:fill="FFFFFF"/>
          <w:lang w:eastAsia="zh-CN"/>
        </w:rPr>
        <w:t>不断加强对信息公开工作的监督指导，</w:t>
      </w:r>
      <w:r>
        <w:rPr>
          <w:rFonts w:hint="eastAsia" w:ascii="仿宋_GB2312" w:hAnsi="仿宋_GB2312" w:eastAsia="仿宋_GB2312" w:cs="仿宋_GB2312"/>
          <w:color w:val="auto"/>
          <w:sz w:val="32"/>
          <w:szCs w:val="32"/>
          <w:shd w:val="clear" w:fill="FFFFFF"/>
        </w:rPr>
        <w:t>严格执行信息公开保密审查机制</w:t>
      </w:r>
      <w:r>
        <w:rPr>
          <w:rFonts w:hint="eastAsia" w:ascii="仿宋_GB2312" w:hAnsi="仿宋_GB2312" w:eastAsia="仿宋_GB2312" w:cs="仿宋_GB2312"/>
          <w:color w:val="auto"/>
          <w:sz w:val="32"/>
          <w:szCs w:val="32"/>
          <w:shd w:val="clear" w:fill="FFFFFF"/>
          <w:lang w:eastAsia="zh-CN"/>
        </w:rPr>
        <w:t>，</w:t>
      </w:r>
      <w:r>
        <w:rPr>
          <w:rFonts w:hint="eastAsia" w:ascii="仿宋_GB2312" w:hAnsi="仿宋_GB2312" w:eastAsia="仿宋_GB2312" w:cs="仿宋_GB2312"/>
          <w:color w:val="auto"/>
          <w:sz w:val="32"/>
          <w:szCs w:val="32"/>
          <w:shd w:val="clear" w:fill="FFFFFF"/>
        </w:rPr>
        <w:t>确保全</w:t>
      </w:r>
      <w:r>
        <w:rPr>
          <w:rFonts w:hint="eastAsia" w:ascii="仿宋_GB2312" w:hAnsi="仿宋_GB2312" w:eastAsia="仿宋_GB2312" w:cs="仿宋_GB2312"/>
          <w:color w:val="auto"/>
          <w:sz w:val="32"/>
          <w:szCs w:val="32"/>
          <w:shd w:val="clear" w:fill="FFFFFF"/>
          <w:lang w:eastAsia="zh-CN"/>
        </w:rPr>
        <w:t>系统</w:t>
      </w:r>
      <w:bookmarkStart w:id="0" w:name="_GoBack"/>
      <w:bookmarkEnd w:id="0"/>
      <w:r>
        <w:rPr>
          <w:rFonts w:hint="eastAsia" w:ascii="仿宋_GB2312" w:hAnsi="仿宋_GB2312" w:eastAsia="仿宋_GB2312" w:cs="仿宋_GB2312"/>
          <w:color w:val="auto"/>
          <w:sz w:val="32"/>
          <w:szCs w:val="32"/>
          <w:shd w:val="clear" w:fill="FFFFFF"/>
        </w:rPr>
        <w:t>政务公开政务服务工作规范、高效运行。</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val="en-US" w:eastAsia="zh-CN"/>
        </w:rPr>
        <w:t xml:space="preserve">   （七）</w:t>
      </w:r>
      <w:r>
        <w:rPr>
          <w:rFonts w:hint="eastAsia" w:ascii="楷体" w:hAnsi="楷体" w:eastAsia="楷体" w:cs="楷体"/>
          <w:b/>
          <w:bCs/>
          <w:color w:val="auto"/>
          <w:sz w:val="32"/>
          <w:szCs w:val="32"/>
        </w:rPr>
        <w:t>依法及时公开年度报告</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我委按照</w:t>
      </w:r>
      <w:r>
        <w:rPr>
          <w:rFonts w:hint="eastAsia" w:ascii="仿宋_GB2312" w:hAnsi="仿宋_GB2312" w:eastAsia="仿宋_GB2312" w:cs="仿宋_GB2312"/>
          <w:color w:val="auto"/>
          <w:sz w:val="32"/>
          <w:szCs w:val="32"/>
        </w:rPr>
        <w:t>《政府信息公开条例》</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要求，规范</w:t>
      </w:r>
      <w:r>
        <w:rPr>
          <w:rFonts w:hint="eastAsia" w:ascii="仿宋_GB2312" w:hAnsi="仿宋_GB2312" w:eastAsia="仿宋_GB2312" w:cs="仿宋_GB2312"/>
          <w:color w:val="auto"/>
          <w:sz w:val="32"/>
          <w:szCs w:val="32"/>
          <w:lang w:val="en-US" w:eastAsia="zh-CN"/>
        </w:rPr>
        <w:t>政府信息公开年报</w:t>
      </w:r>
      <w:r>
        <w:rPr>
          <w:rFonts w:hint="eastAsia" w:ascii="仿宋_GB2312" w:hAnsi="仿宋_GB2312" w:eastAsia="仿宋_GB2312" w:cs="仿宋_GB2312"/>
          <w:color w:val="auto"/>
          <w:sz w:val="32"/>
          <w:szCs w:val="32"/>
        </w:rPr>
        <w:t>内容，提高</w:t>
      </w:r>
      <w:r>
        <w:rPr>
          <w:rFonts w:hint="eastAsia" w:ascii="仿宋_GB2312" w:hAnsi="仿宋_GB2312" w:eastAsia="仿宋_GB2312" w:cs="仿宋_GB2312"/>
          <w:color w:val="auto"/>
          <w:sz w:val="32"/>
          <w:szCs w:val="32"/>
          <w:lang w:val="en-US" w:eastAsia="zh-CN"/>
        </w:rPr>
        <w:t>政府及各个部门</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val="en-US" w:eastAsia="zh-CN"/>
        </w:rPr>
        <w:t>年报的发布质量</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按照统一</w:t>
      </w:r>
      <w:r>
        <w:rPr>
          <w:rFonts w:hint="eastAsia" w:ascii="仿宋_GB2312" w:hAnsi="仿宋_GB2312" w:eastAsia="仿宋_GB2312" w:cs="仿宋_GB2312"/>
          <w:color w:val="auto"/>
          <w:sz w:val="32"/>
          <w:szCs w:val="32"/>
        </w:rPr>
        <w:t>模板格式公开年度报告。</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二、主动公开政府信息情况</w:t>
      </w:r>
    </w:p>
    <w:tbl>
      <w:tblPr>
        <w:tblStyle w:val="6"/>
        <w:tblW w:w="909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920"/>
        <w:gridCol w:w="1728"/>
        <w:gridCol w:w="1080"/>
        <w:gridCol w:w="2362"/>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9090" w:type="dxa"/>
            <w:gridSpan w:val="4"/>
            <w:tcBorders>
              <w:top w:val="single" w:color="000000" w:sz="8" w:space="0"/>
              <w:left w:val="single" w:color="000000" w:sz="8" w:space="0"/>
              <w:bottom w:val="single" w:color="000000" w:sz="8" w:space="0"/>
              <w:right w:val="single" w:color="000000" w:sz="8" w:space="0"/>
            </w:tcBorders>
            <w:shd w:val="clear" w:color="auto" w:fill="C6D9F1"/>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2800" w:firstLineChars="1000"/>
              <w:textAlignment w:val="auto"/>
              <w:rPr>
                <w:rFonts w:hint="eastAsia" w:ascii="仿宋" w:hAnsi="仿宋" w:eastAsia="仿宋" w:cs="仿宋"/>
                <w:sz w:val="28"/>
                <w:szCs w:val="28"/>
              </w:rPr>
            </w:pPr>
            <w:r>
              <w:rPr>
                <w:rFonts w:hint="eastAsia" w:ascii="仿宋" w:hAnsi="仿宋" w:eastAsia="仿宋" w:cs="仿宋"/>
                <w:sz w:val="28"/>
                <w:szCs w:val="28"/>
              </w:rPr>
              <w:t>第二十条第（一）项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9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信息内容</w:t>
            </w:r>
          </w:p>
        </w:tc>
        <w:tc>
          <w:tcPr>
            <w:tcW w:w="1728"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rPr>
              <w:t>本年</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制</w:t>
            </w:r>
            <w:r>
              <w:rPr>
                <w:rFonts w:hint="eastAsia" w:ascii="仿宋" w:hAnsi="仿宋" w:eastAsia="仿宋" w:cs="仿宋"/>
                <w:sz w:val="28"/>
                <w:szCs w:val="28"/>
                <w:lang w:val="en-US" w:eastAsia="zh-CN"/>
              </w:rPr>
              <w:t>发件</w:t>
            </w:r>
            <w:r>
              <w:rPr>
                <w:rFonts w:hint="eastAsia" w:ascii="仿宋" w:hAnsi="仿宋" w:eastAsia="仿宋" w:cs="仿宋"/>
                <w:sz w:val="28"/>
                <w:szCs w:val="28"/>
              </w:rPr>
              <w:t>数</w:t>
            </w:r>
          </w:p>
        </w:tc>
        <w:tc>
          <w:tcPr>
            <w:tcW w:w="108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本年</w:t>
            </w:r>
            <w:r>
              <w:rPr>
                <w:rFonts w:hint="eastAsia" w:ascii="仿宋" w:hAnsi="仿宋" w:eastAsia="仿宋" w:cs="仿宋"/>
                <w:sz w:val="28"/>
                <w:szCs w:val="28"/>
                <w:lang w:val="en-US" w:eastAsia="zh-CN"/>
              </w:rPr>
              <w:t>废止件</w:t>
            </w:r>
            <w:r>
              <w:rPr>
                <w:rFonts w:hint="eastAsia" w:ascii="仿宋" w:hAnsi="仿宋" w:eastAsia="仿宋" w:cs="仿宋"/>
                <w:sz w:val="28"/>
                <w:szCs w:val="28"/>
              </w:rPr>
              <w:t>数</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现行有效件数</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规章</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8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规范性文件</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tabs>
                <w:tab w:val="left" w:pos="458"/>
              </w:tabs>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8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362"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2520" w:firstLineChars="900"/>
              <w:textAlignment w:val="auto"/>
              <w:rPr>
                <w:rFonts w:hint="eastAsia" w:ascii="仿宋" w:hAnsi="仿宋" w:eastAsia="仿宋" w:cs="仿宋"/>
                <w:sz w:val="28"/>
                <w:szCs w:val="28"/>
              </w:rPr>
            </w:pPr>
            <w:r>
              <w:rPr>
                <w:rFonts w:hint="eastAsia" w:ascii="仿宋" w:hAnsi="仿宋" w:eastAsia="仿宋" w:cs="仿宋"/>
                <w:sz w:val="28"/>
                <w:szCs w:val="28"/>
              </w:rPr>
              <w:t>第二十条第（五）项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2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single" w:color="auto" w:sz="8" w:space="0"/>
              <w:left w:val="single" w:color="auto" w:sz="8" w:space="0"/>
              <w:bottom w:val="single" w:color="auto" w:sz="8" w:space="0"/>
              <w:right w:val="single" w:color="auto"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本年处理决定数量</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行政许可</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179</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196"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2520" w:firstLineChars="900"/>
              <w:textAlignment w:val="auto"/>
              <w:rPr>
                <w:rFonts w:hint="eastAsia" w:ascii="仿宋" w:hAnsi="仿宋" w:eastAsia="仿宋" w:cs="仿宋"/>
                <w:sz w:val="28"/>
                <w:szCs w:val="28"/>
              </w:rPr>
            </w:pPr>
            <w:r>
              <w:rPr>
                <w:rFonts w:hint="eastAsia" w:ascii="仿宋" w:hAnsi="仿宋" w:eastAsia="仿宋" w:cs="仿宋"/>
                <w:sz w:val="28"/>
                <w:szCs w:val="28"/>
              </w:rPr>
              <w:t>第二十条第（六）项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7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single" w:color="auto" w:sz="8" w:space="0"/>
              <w:left w:val="single" w:color="auto" w:sz="8" w:space="0"/>
              <w:bottom w:val="single" w:color="auto" w:sz="8" w:space="0"/>
              <w:right w:val="single" w:color="auto"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本年处理决定数量</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6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行政处罚</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62</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49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行政强制</w:t>
            </w:r>
          </w:p>
        </w:tc>
        <w:tc>
          <w:tcPr>
            <w:tcW w:w="5170" w:type="dxa"/>
            <w:gridSpan w:val="3"/>
            <w:tcBorders>
              <w:top w:val="nil"/>
              <w:left w:val="single" w:color="auto" w:sz="8" w:space="0"/>
              <w:bottom w:val="single" w:color="auto" w:sz="8" w:space="0"/>
              <w:right w:val="single" w:color="auto"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271" w:hRule="atLeast"/>
          <w:jc w:val="center"/>
        </w:trPr>
        <w:tc>
          <w:tcPr>
            <w:tcW w:w="9090" w:type="dxa"/>
            <w:gridSpan w:val="4"/>
            <w:tcBorders>
              <w:top w:val="nil"/>
              <w:left w:val="single" w:color="auto" w:sz="8" w:space="0"/>
              <w:bottom w:val="single" w:color="auto" w:sz="8" w:space="0"/>
              <w:right w:val="single" w:color="auto" w:sz="8" w:space="0"/>
            </w:tcBorders>
            <w:shd w:val="clear" w:color="auto" w:fill="C6D9F1"/>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2520" w:firstLineChars="900"/>
              <w:textAlignment w:val="auto"/>
              <w:rPr>
                <w:rFonts w:hint="eastAsia" w:ascii="仿宋" w:hAnsi="仿宋" w:eastAsia="仿宋" w:cs="仿宋"/>
                <w:sz w:val="28"/>
                <w:szCs w:val="28"/>
              </w:rPr>
            </w:pPr>
            <w:r>
              <w:rPr>
                <w:rFonts w:hint="eastAsia" w:ascii="仿宋" w:hAnsi="仿宋" w:eastAsia="仿宋" w:cs="仿宋"/>
                <w:sz w:val="28"/>
                <w:szCs w:val="28"/>
              </w:rPr>
              <w:t>第二十条第（八）项</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05"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信息内容</w:t>
            </w:r>
          </w:p>
        </w:tc>
        <w:tc>
          <w:tcPr>
            <w:tcW w:w="5170" w:type="dxa"/>
            <w:gridSpan w:val="3"/>
            <w:tcBorders>
              <w:top w:val="nil"/>
              <w:left w:val="single" w:color="auto" w:sz="8" w:space="0"/>
              <w:bottom w:val="single" w:color="auto" w:sz="8" w:space="0"/>
              <w:right w:val="single" w:color="000000" w:sz="8" w:space="0"/>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本年收费金额（单位：万元）</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60" w:hRule="atLeast"/>
          <w:jc w:val="center"/>
        </w:trPr>
        <w:tc>
          <w:tcPr>
            <w:tcW w:w="392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行政事业性收费</w:t>
            </w:r>
          </w:p>
        </w:tc>
        <w:tc>
          <w:tcPr>
            <w:tcW w:w="1728"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442" w:type="dxa"/>
            <w:gridSpan w:val="2"/>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r>
    </w:tbl>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sz w:val="28"/>
          <w:szCs w:val="28"/>
        </w:rPr>
      </w:pPr>
      <w:r>
        <w:rPr>
          <w:rFonts w:hint="eastAsia" w:ascii="黑体" w:hAnsi="黑体" w:eastAsia="黑体" w:cs="黑体"/>
          <w:b w:val="0"/>
          <w:bCs w:val="0"/>
          <w:sz w:val="32"/>
          <w:szCs w:val="32"/>
        </w:rPr>
        <w:t>三、收到和处理政府信息公开申请情况</w:t>
      </w:r>
    </w:p>
    <w:tbl>
      <w:tblPr>
        <w:tblStyle w:val="6"/>
        <w:tblW w:w="888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10"/>
        <w:gridCol w:w="963"/>
        <w:gridCol w:w="1298"/>
        <w:gridCol w:w="543"/>
        <w:gridCol w:w="486"/>
        <w:gridCol w:w="486"/>
        <w:gridCol w:w="486"/>
        <w:gridCol w:w="486"/>
        <w:gridCol w:w="1027"/>
        <w:gridCol w:w="2295"/>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restart"/>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（本列数据的勾稽关系为：第一项加第二项之和，等于第三项加第四项之和）</w:t>
            </w:r>
          </w:p>
        </w:tc>
        <w:tc>
          <w:tcPr>
            <w:tcW w:w="5809" w:type="dxa"/>
            <w:gridSpan w:val="7"/>
            <w:tcBorders>
              <w:top w:val="single" w:color="000000" w:sz="6" w:space="0"/>
              <w:left w:val="single" w:color="000000" w:sz="6" w:space="0"/>
              <w:bottom w:val="single" w:color="000000" w:sz="6" w:space="0"/>
              <w:right w:val="single" w:color="000000"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申请人情况</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543" w:type="dxa"/>
            <w:vMerge w:val="restart"/>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自然人</w:t>
            </w:r>
          </w:p>
        </w:tc>
        <w:tc>
          <w:tcPr>
            <w:tcW w:w="2971" w:type="dxa"/>
            <w:gridSpan w:val="5"/>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法人或其他组织</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总计</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071" w:type="dxa"/>
            <w:gridSpan w:val="3"/>
            <w:vMerge w:val="continue"/>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54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商业企业</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科研机构</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社会公益组织</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法律服务机构</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其他</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一、本年新收政府信息公开申请数量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71"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二、上年结转政府信息公开申请数量</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restart"/>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三、本年度办理结果</w:t>
            </w: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（一）予以公开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（二）部分公开（区分处理的，只计这一情形，不计其他情形）</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（三）不予公开</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1.属于国家秘密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2.其他法律行政法规禁止公开</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3.危及“三安全一稳定”</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4.保护第三方合法权益</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5.属于三类内部事务信息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6.属于四类过程性信息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7.属于行政执法案卷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8.属于行政查询事项</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（四）无法提供</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1.本机关不掌握相关政府信息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2.没有现成信息需要另行制作</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3.补正后申请内容仍不明确</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restart"/>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（五）不予处理</w:t>
            </w: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1.信访举报投诉类申请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3.要求提供公开出版物</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4.无正当理由大量反复申请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5.要求行政机关确认或重新出具已获取信息</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restart"/>
            <w:tcBorders>
              <w:top w:val="single" w:color="auto" w:sz="6" w:space="0"/>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（六）其他处理</w:t>
            </w:r>
          </w:p>
        </w:tc>
        <w:tc>
          <w:tcPr>
            <w:tcW w:w="1298" w:type="dxa"/>
            <w:tcBorders>
              <w:top w:val="single" w:color="auto" w:sz="6" w:space="0"/>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1.申请人无正当理由逾期不补正、行政机关不再处理其政府信息申请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2.申请人逾期未按收费通知要求缴纳费用、行政机关不再处理其政府信息公开申请</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63" w:type="dxa"/>
            <w:vMerge w:val="continue"/>
            <w:tcBorders>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298" w:type="dxa"/>
            <w:tcBorders>
              <w:left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3.其他</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810" w:type="dxa"/>
            <w:vMerge w:val="continue"/>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2261" w:type="dxa"/>
            <w:gridSpan w:val="2"/>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（七）总计</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286" w:hRule="atLeast"/>
          <w:jc w:val="center"/>
        </w:trPr>
        <w:tc>
          <w:tcPr>
            <w:tcW w:w="3071" w:type="dxa"/>
            <w:gridSpan w:val="3"/>
            <w:tcBorders>
              <w:top w:val="single" w:color="auto" w:sz="6" w:space="0"/>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四、结转下年度继续办理</w:t>
            </w:r>
          </w:p>
        </w:tc>
        <w:tc>
          <w:tcPr>
            <w:tcW w:w="543"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486"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1027" w:type="dxa"/>
            <w:tcBorders>
              <w:top w:val="nil"/>
              <w:left w:val="single" w:color="auto" w:sz="6" w:space="0"/>
              <w:bottom w:val="single" w:color="auto" w:sz="6"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c>
          <w:tcPr>
            <w:tcW w:w="2295" w:type="dxa"/>
            <w:tcBorders>
              <w:top w:val="nil"/>
              <w:left w:val="single" w:color="auto" w:sz="6" w:space="0"/>
              <w:bottom w:val="single" w:color="auto" w:sz="6" w:space="0"/>
              <w:right w:val="single" w:color="auto" w:sz="6"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0</w:t>
            </w:r>
          </w:p>
        </w:tc>
      </w:tr>
    </w:tbl>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四、政府信息公开行政复议、行政诉讼情况</w:t>
      </w:r>
    </w:p>
    <w:tbl>
      <w:tblPr>
        <w:tblStyle w:val="6"/>
        <w:tblW w:w="9030" w:type="dxa"/>
        <w:jc w:val="center"/>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11"/>
        <w:gridCol w:w="411"/>
        <w:gridCol w:w="412"/>
        <w:gridCol w:w="412"/>
        <w:gridCol w:w="1327"/>
        <w:gridCol w:w="412"/>
        <w:gridCol w:w="412"/>
        <w:gridCol w:w="412"/>
        <w:gridCol w:w="412"/>
        <w:gridCol w:w="1266"/>
        <w:gridCol w:w="412"/>
        <w:gridCol w:w="412"/>
        <w:gridCol w:w="412"/>
        <w:gridCol w:w="412"/>
        <w:gridCol w:w="1495"/>
      </w:tblGrid>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360" w:hRule="atLeast"/>
          <w:jc w:val="center"/>
        </w:trPr>
        <w:tc>
          <w:tcPr>
            <w:tcW w:w="2850" w:type="dxa"/>
            <w:gridSpan w:val="5"/>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行政复议</w:t>
            </w:r>
          </w:p>
        </w:tc>
        <w:tc>
          <w:tcPr>
            <w:tcW w:w="5790" w:type="dxa"/>
            <w:gridSpan w:val="10"/>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ind w:firstLine="1960" w:firstLineChars="700"/>
              <w:textAlignment w:val="auto"/>
              <w:rPr>
                <w:rFonts w:hint="eastAsia" w:ascii="仿宋" w:hAnsi="仿宋" w:eastAsia="仿宋" w:cs="仿宋"/>
                <w:sz w:val="28"/>
                <w:szCs w:val="28"/>
              </w:rPr>
            </w:pPr>
            <w:r>
              <w:rPr>
                <w:rFonts w:hint="eastAsia" w:ascii="仿宋" w:hAnsi="仿宋" w:eastAsia="仿宋" w:cs="仿宋"/>
                <w:sz w:val="28"/>
                <w:szCs w:val="28"/>
              </w:rPr>
              <w:t>行政诉讼</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75" w:type="dxa"/>
            <w:vMerge w:val="restart"/>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vMerge w:val="restart"/>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尚未审结</w:t>
            </w:r>
          </w:p>
        </w:tc>
        <w:tc>
          <w:tcPr>
            <w:tcW w:w="450" w:type="dxa"/>
            <w:vMerge w:val="restart"/>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总计</w:t>
            </w:r>
          </w:p>
        </w:tc>
        <w:tc>
          <w:tcPr>
            <w:tcW w:w="2760" w:type="dxa"/>
            <w:gridSpan w:val="5"/>
            <w:tcBorders>
              <w:top w:val="single" w:color="auto" w:sz="8" w:space="0"/>
              <w:left w:val="single" w:color="auto" w:sz="8" w:space="0"/>
              <w:bottom w:val="single" w:color="auto" w:sz="8" w:space="0"/>
              <w:right w:val="nil"/>
            </w:tcBorders>
            <w:shd w:val="clear" w:color="auto" w:fill="auto"/>
            <w:tcMar>
              <w:left w:w="115" w:type="dxa"/>
            </w:tcMar>
            <w:vAlign w:val="bottom"/>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未经复议直接起诉</w:t>
            </w:r>
          </w:p>
        </w:tc>
        <w:tc>
          <w:tcPr>
            <w:tcW w:w="2820" w:type="dxa"/>
            <w:gridSpan w:val="5"/>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bottom"/>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复议后起诉</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jc w:val="center"/>
        </w:trPr>
        <w:tc>
          <w:tcPr>
            <w:tcW w:w="375" w:type="dxa"/>
            <w:vMerge w:val="continue"/>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390" w:type="dxa"/>
            <w:vMerge w:val="continue"/>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39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39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450" w:type="dxa"/>
            <w:vMerge w:val="continue"/>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345"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尚未审结</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总计</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结果维持</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结果纠正</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其他结果</w:t>
            </w:r>
          </w:p>
        </w:tc>
        <w:tc>
          <w:tcPr>
            <w:tcW w:w="390" w:type="dxa"/>
            <w:tcBorders>
              <w:top w:val="single" w:color="auto" w:sz="8" w:space="0"/>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尚未审结</w:t>
            </w:r>
          </w:p>
        </w:tc>
        <w:tc>
          <w:tcPr>
            <w:tcW w:w="405" w:type="dxa"/>
            <w:tcBorders>
              <w:top w:val="single" w:color="000000" w:sz="8" w:space="0"/>
              <w:left w:val="single" w:color="000000" w:sz="8" w:space="0"/>
              <w:bottom w:val="single" w:color="000000" w:sz="8" w:space="0"/>
              <w:right w:val="single" w:color="000000"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总计</w:t>
            </w:r>
          </w:p>
        </w:tc>
      </w:tr>
      <w:tr>
        <w:tblPrEx>
          <w:tblBorders>
            <w:top w:val="outset" w:color="333333" w:sz="0" w:space="0"/>
            <w:left w:val="outset" w:color="333333" w:sz="0" w:space="0"/>
            <w:bottom w:val="outset" w:color="333333" w:sz="0" w:space="0"/>
            <w:right w:val="outset" w:color="333333" w:sz="0" w:space="0"/>
            <w:insideH w:val="outset" w:color="auto" w:sz="6" w:space="0"/>
            <w:insideV w:val="outset" w:color="auto" w:sz="6" w:space="0"/>
          </w:tblBorders>
          <w:tblCellMar>
            <w:top w:w="0" w:type="dxa"/>
            <w:left w:w="0" w:type="dxa"/>
            <w:bottom w:w="0" w:type="dxa"/>
            <w:right w:w="0" w:type="dxa"/>
          </w:tblCellMar>
        </w:tblPrEx>
        <w:trPr>
          <w:trHeight w:val="45" w:hRule="atLeast"/>
          <w:jc w:val="center"/>
        </w:trPr>
        <w:tc>
          <w:tcPr>
            <w:tcW w:w="375"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5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45"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390" w:type="dxa"/>
            <w:tcBorders>
              <w:top w:val="nil"/>
              <w:left w:val="single" w:color="auto" w:sz="8" w:space="0"/>
              <w:bottom w:val="single" w:color="auto" w:sz="8" w:space="0"/>
              <w:right w:val="nil"/>
            </w:tcBorders>
            <w:shd w:val="clear" w:color="auto" w:fill="auto"/>
            <w:tcMar>
              <w:lef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405" w:type="dxa"/>
            <w:tcBorders>
              <w:top w:val="nil"/>
              <w:left w:val="single" w:color="auto" w:sz="8" w:space="0"/>
              <w:bottom w:val="single" w:color="auto" w:sz="8" w:space="0"/>
              <w:right w:val="single" w:color="auto" w:sz="8" w:space="0"/>
            </w:tcBorders>
            <w:shd w:val="clear" w:color="auto" w:fill="auto"/>
            <w:tcMar>
              <w:left w:w="115" w:type="dxa"/>
              <w:right w:w="115" w:type="dxa"/>
            </w:tcMar>
            <w:vAlign w:val="center"/>
          </w:tcPr>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fill="FFFFFF"/>
          <w:lang w:eastAsia="zh-CN"/>
        </w:rPr>
        <w:t>五</w:t>
      </w:r>
      <w:r>
        <w:rPr>
          <w:rFonts w:hint="eastAsia" w:ascii="黑体" w:hAnsi="黑体" w:eastAsia="黑体" w:cs="黑体"/>
          <w:i w:val="0"/>
          <w:iCs w:val="0"/>
          <w:caps w:val="0"/>
          <w:color w:val="auto"/>
          <w:spacing w:val="0"/>
          <w:sz w:val="32"/>
          <w:szCs w:val="32"/>
          <w:shd w:val="clear" w:fill="FFFFFF"/>
        </w:rPr>
        <w:t>、存在问题</w:t>
      </w:r>
      <w:r>
        <w:rPr>
          <w:rFonts w:hint="eastAsia" w:ascii="黑体" w:hAnsi="黑体" w:eastAsia="黑体" w:cs="黑体"/>
          <w:i w:val="0"/>
          <w:iCs w:val="0"/>
          <w:caps w:val="0"/>
          <w:color w:val="auto"/>
          <w:spacing w:val="0"/>
          <w:sz w:val="32"/>
          <w:szCs w:val="32"/>
          <w:shd w:val="clear" w:fill="FFFFFF"/>
          <w:lang w:eastAsia="zh-CN"/>
        </w:rPr>
        <w:t>以</w:t>
      </w:r>
      <w:r>
        <w:rPr>
          <w:rFonts w:hint="eastAsia" w:ascii="黑体" w:hAnsi="黑体" w:eastAsia="黑体" w:cs="黑体"/>
          <w:i w:val="0"/>
          <w:iCs w:val="0"/>
          <w:caps w:val="0"/>
          <w:color w:val="auto"/>
          <w:spacing w:val="0"/>
          <w:sz w:val="32"/>
          <w:szCs w:val="32"/>
          <w:shd w:val="clear" w:fill="FFFFFF"/>
        </w:rPr>
        <w:t>及改进情况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在总结工作的同时，我们清醒认识到，全</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卫生健康系统政务公开标准化规范化仍需加强；《</w:t>
      </w:r>
      <w:r>
        <w:rPr>
          <w:rFonts w:hint="eastAsia" w:ascii="仿宋_GB2312" w:hAnsi="仿宋_GB2312" w:eastAsia="仿宋_GB2312" w:cs="仿宋_GB2312"/>
          <w:i w:val="0"/>
          <w:iCs w:val="0"/>
          <w:caps w:val="0"/>
          <w:color w:val="auto"/>
          <w:spacing w:val="0"/>
          <w:sz w:val="32"/>
          <w:szCs w:val="32"/>
          <w:shd w:val="clear" w:fill="FFFFFF"/>
          <w:lang w:eastAsia="zh-CN"/>
        </w:rPr>
        <w:t>公开</w:t>
      </w:r>
      <w:r>
        <w:rPr>
          <w:rFonts w:hint="eastAsia" w:ascii="仿宋_GB2312" w:hAnsi="仿宋_GB2312" w:eastAsia="仿宋_GB2312" w:cs="仿宋_GB2312"/>
          <w:i w:val="0"/>
          <w:iCs w:val="0"/>
          <w:caps w:val="0"/>
          <w:color w:val="auto"/>
          <w:spacing w:val="0"/>
          <w:sz w:val="32"/>
          <w:szCs w:val="32"/>
          <w:shd w:val="clear" w:fill="FFFFFF"/>
        </w:rPr>
        <w:t>目录》主动性、时效性仍需提升；与公众互动交流程度仍需深化。</w:t>
      </w:r>
      <w:r>
        <w:rPr>
          <w:rFonts w:hint="eastAsia" w:ascii="仿宋_GB2312" w:hAnsi="仿宋_GB2312" w:eastAsia="仿宋_GB2312" w:cs="仿宋_GB2312"/>
          <w:i w:val="0"/>
          <w:iCs w:val="0"/>
          <w:caps w:val="0"/>
          <w:color w:val="auto"/>
          <w:spacing w:val="0"/>
          <w:sz w:val="32"/>
          <w:szCs w:val="32"/>
          <w:shd w:val="clear" w:fill="FFFFFF"/>
          <w:lang w:val="en-US" w:eastAsia="zh-CN"/>
        </w:rPr>
        <w:t>2022年</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卫健委将紧紧围绕全</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卫生健康中心工作，不断提高全</w:t>
      </w:r>
      <w:r>
        <w:rPr>
          <w:rFonts w:hint="eastAsia" w:ascii="仿宋_GB2312" w:hAnsi="仿宋_GB2312" w:eastAsia="仿宋_GB2312" w:cs="仿宋_GB2312"/>
          <w:i w:val="0"/>
          <w:iCs w:val="0"/>
          <w:caps w:val="0"/>
          <w:color w:val="auto"/>
          <w:spacing w:val="0"/>
          <w:sz w:val="32"/>
          <w:szCs w:val="32"/>
          <w:shd w:val="clear" w:fill="FFFFFF"/>
          <w:lang w:eastAsia="zh-CN"/>
        </w:rPr>
        <w:t>县</w:t>
      </w:r>
      <w:r>
        <w:rPr>
          <w:rFonts w:hint="eastAsia" w:ascii="仿宋_GB2312" w:hAnsi="仿宋_GB2312" w:eastAsia="仿宋_GB2312" w:cs="仿宋_GB2312"/>
          <w:i w:val="0"/>
          <w:iCs w:val="0"/>
          <w:caps w:val="0"/>
          <w:color w:val="auto"/>
          <w:spacing w:val="0"/>
          <w:sz w:val="32"/>
          <w:szCs w:val="32"/>
          <w:shd w:val="clear" w:fill="FFFFFF"/>
        </w:rPr>
        <w:t>卫生健康领域政务公开的针对性和实效性，把政务公开工作融入卫生健康工作全过程。实现工作效率提升、公开标准提高、政策解读提质、回应关切提速、监督考核提效、政务服务提品，切实保障人民群众的知情权、参与权、表达权和监督权，逐步提升人民群众对卫生健康工作的满意度和获得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lang w:eastAsia="zh-CN"/>
        </w:rPr>
        <w:t>六</w:t>
      </w:r>
      <w:r>
        <w:rPr>
          <w:rFonts w:hint="eastAsia" w:ascii="黑体" w:hAnsi="黑体" w:eastAsia="黑体" w:cs="黑体"/>
          <w:i w:val="0"/>
          <w:iCs w:val="0"/>
          <w:caps w:val="0"/>
          <w:color w:val="auto"/>
          <w:spacing w:val="0"/>
          <w:sz w:val="32"/>
          <w:szCs w:val="32"/>
          <w:shd w:val="clear" w:fill="FFFFFF"/>
        </w:rPr>
        <w:t>、其他需要报告的事项</w:t>
      </w:r>
      <w:r>
        <w:rPr>
          <w:rFonts w:hint="eastAsia" w:ascii="黑体" w:hAnsi="黑体" w:eastAsia="黑体" w:cs="黑体"/>
          <w:i w:val="0"/>
          <w:iCs w:val="0"/>
          <w:caps w:val="0"/>
          <w:color w:val="auto"/>
          <w:spacing w:val="0"/>
          <w:sz w:val="32"/>
          <w:szCs w:val="32"/>
          <w:shd w:val="clear" w:fill="FFFFFF"/>
          <w:lang w:eastAsia="zh-CN"/>
        </w:rPr>
        <w:t>暂</w:t>
      </w:r>
      <w:r>
        <w:rPr>
          <w:rFonts w:hint="eastAsia" w:ascii="黑体" w:hAnsi="黑体" w:eastAsia="黑体" w:cs="黑体"/>
          <w:i w:val="0"/>
          <w:iCs w:val="0"/>
          <w:caps w:val="0"/>
          <w:color w:val="auto"/>
          <w:spacing w:val="0"/>
          <w:sz w:val="32"/>
          <w:szCs w:val="32"/>
          <w:shd w:val="clear" w:fill="FFFFFF"/>
        </w:rPr>
        <w:t>无</w:t>
      </w:r>
      <w:r>
        <w:rPr>
          <w:rFonts w:hint="eastAsia" w:ascii="黑体" w:hAnsi="黑体" w:eastAsia="黑体" w:cs="黑体"/>
          <w:i w:val="0"/>
          <w:iCs w:val="0"/>
          <w:caps w:val="0"/>
          <w:color w:val="auto"/>
          <w:spacing w:val="0"/>
          <w:sz w:val="32"/>
          <w:szCs w:val="32"/>
          <w:shd w:val="clear" w:fill="FFFFFF"/>
          <w:lang w:eastAsia="zh-CN"/>
        </w:rPr>
        <w:t>内容</w:t>
      </w:r>
      <w:r>
        <w:rPr>
          <w:rFonts w:hint="eastAsia" w:ascii="黑体" w:hAnsi="黑体" w:eastAsia="黑体" w:cs="黑体"/>
          <w:i w:val="0"/>
          <w:iCs w:val="0"/>
          <w:caps w:val="0"/>
          <w:color w:val="auto"/>
          <w:spacing w:val="0"/>
          <w:sz w:val="32"/>
          <w:szCs w:val="32"/>
          <w:shd w:val="clear" w:fill="FFFFFF"/>
        </w:rPr>
        <w:t>。</w:t>
      </w:r>
    </w:p>
    <w:tbl>
      <w:tblPr>
        <w:tblStyle w:val="6"/>
        <w:tblW w:w="9120" w:type="dxa"/>
        <w:jc w:val="center"/>
        <w:tblBorders>
          <w:top w:val="none" w:color="auto" w:sz="0" w:space="0"/>
          <w:left w:val="single" w:color="E4E4E4" w:sz="6" w:space="0"/>
          <w:bottom w:val="single" w:color="E4E4E4" w:sz="6"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824"/>
        <w:gridCol w:w="1824"/>
        <w:gridCol w:w="1824"/>
        <w:gridCol w:w="1824"/>
        <w:gridCol w:w="1824"/>
      </w:tblGrid>
      <w:tr>
        <w:tblPrEx>
          <w:tblBorders>
            <w:top w:val="none" w:color="auto" w:sz="0" w:space="0"/>
            <w:left w:val="single" w:color="E4E4E4" w:sz="6" w:space="0"/>
            <w:bottom w:val="single" w:color="E4E4E4" w:sz="6"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0" w:type="auto"/>
            <w:tcBorders>
              <w:top w:val="nil"/>
              <w:left w:val="nil"/>
              <w:bottom w:val="nil"/>
              <w:right w:val="nil"/>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lang w:val="en-US" w:eastAsia="zh-CN" w:bidi="ar"/>
              </w:rPr>
              <w:t>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lang w:val="en-US" w:eastAsia="zh-CN" w:bidi="ar"/>
              </w:rPr>
              <w:t>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lang w:val="en-US" w:eastAsia="zh-CN" w:bidi="ar"/>
              </w:rPr>
              <w:t>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lang w:val="en-US" w:eastAsia="zh-CN" w:bidi="ar"/>
              </w:rPr>
              <w:t>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kern w:val="0"/>
                <w:sz w:val="32"/>
                <w:szCs w:val="32"/>
                <w:lang w:val="en-US" w:eastAsia="zh-CN" w:bidi="ar"/>
              </w:rPr>
              <w:t> </w:t>
            </w:r>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560" w:lineRule="exact"/>
        <w:ind w:left="0" w:right="0" w:firstLine="0"/>
        <w:textAlignment w:val="auto"/>
        <w:rPr>
          <w:rFonts w:hint="eastAsia" w:ascii="仿宋_GB2312" w:hAnsi="仿宋_GB2312" w:eastAsia="仿宋_GB2312" w:cs="仿宋_GB2312"/>
          <w:i w:val="0"/>
          <w:iCs w:val="0"/>
          <w:caps w:val="0"/>
          <w:color w:val="333333"/>
          <w:spacing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nsolas">
    <w:panose1 w:val="020B0609020204030204"/>
    <w:charset w:val="00"/>
    <w:family w:val="auto"/>
    <w:pitch w:val="default"/>
    <w:sig w:usb0="E10002FF" w:usb1="4000FCFF" w:usb2="00000009" w:usb3="00000000" w:csb0="6000019F" w:csb1="DFD7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384352"/>
    <w:multiLevelType w:val="singleLevel"/>
    <w:tmpl w:val="3C38435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BF324D"/>
    <w:rsid w:val="05FB634C"/>
    <w:rsid w:val="0963712E"/>
    <w:rsid w:val="0AE74F0F"/>
    <w:rsid w:val="0EB5630C"/>
    <w:rsid w:val="124802C3"/>
    <w:rsid w:val="129E729F"/>
    <w:rsid w:val="14171820"/>
    <w:rsid w:val="158F171D"/>
    <w:rsid w:val="15996345"/>
    <w:rsid w:val="167504A0"/>
    <w:rsid w:val="18083C90"/>
    <w:rsid w:val="1BC17CE4"/>
    <w:rsid w:val="1D6F7C6C"/>
    <w:rsid w:val="1F762097"/>
    <w:rsid w:val="201523AC"/>
    <w:rsid w:val="20FF72E4"/>
    <w:rsid w:val="215B7728"/>
    <w:rsid w:val="22201539"/>
    <w:rsid w:val="23180546"/>
    <w:rsid w:val="299D2EC0"/>
    <w:rsid w:val="2A3B3F8C"/>
    <w:rsid w:val="2B8811BA"/>
    <w:rsid w:val="2B9B47E6"/>
    <w:rsid w:val="2EB53912"/>
    <w:rsid w:val="2F221542"/>
    <w:rsid w:val="31615451"/>
    <w:rsid w:val="31C51E84"/>
    <w:rsid w:val="31D35D1B"/>
    <w:rsid w:val="32B731AA"/>
    <w:rsid w:val="379A4490"/>
    <w:rsid w:val="38B86EB6"/>
    <w:rsid w:val="3B152649"/>
    <w:rsid w:val="3B8F25D3"/>
    <w:rsid w:val="3D1266B2"/>
    <w:rsid w:val="3E7D6AA5"/>
    <w:rsid w:val="41BF324D"/>
    <w:rsid w:val="45AD2E80"/>
    <w:rsid w:val="466F74F2"/>
    <w:rsid w:val="47971775"/>
    <w:rsid w:val="48125B33"/>
    <w:rsid w:val="490854EF"/>
    <w:rsid w:val="49843F7B"/>
    <w:rsid w:val="49A01872"/>
    <w:rsid w:val="49A315E5"/>
    <w:rsid w:val="4BC207D7"/>
    <w:rsid w:val="4FE17A31"/>
    <w:rsid w:val="50BC51E2"/>
    <w:rsid w:val="517E354F"/>
    <w:rsid w:val="5272204A"/>
    <w:rsid w:val="53A219F9"/>
    <w:rsid w:val="54C33F03"/>
    <w:rsid w:val="55C45E2B"/>
    <w:rsid w:val="56094412"/>
    <w:rsid w:val="56A649E0"/>
    <w:rsid w:val="57221BE6"/>
    <w:rsid w:val="583E09E4"/>
    <w:rsid w:val="58CF6AED"/>
    <w:rsid w:val="5B0A1857"/>
    <w:rsid w:val="5DA3771A"/>
    <w:rsid w:val="605C31BA"/>
    <w:rsid w:val="61AC13A2"/>
    <w:rsid w:val="669B118C"/>
    <w:rsid w:val="6ADC6C68"/>
    <w:rsid w:val="6B951AFD"/>
    <w:rsid w:val="6D301158"/>
    <w:rsid w:val="6E091B09"/>
    <w:rsid w:val="72BD7A32"/>
    <w:rsid w:val="73B01345"/>
    <w:rsid w:val="77144A93"/>
    <w:rsid w:val="771A18F7"/>
    <w:rsid w:val="78A02FA0"/>
    <w:rsid w:val="7C2D5C29"/>
    <w:rsid w:val="7CF50474"/>
    <w:rsid w:val="7D537911"/>
    <w:rsid w:val="7EB92146"/>
    <w:rsid w:val="7F1B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character" w:styleId="9">
    <w:name w:val="FollowedHyperlink"/>
    <w:basedOn w:val="7"/>
    <w:qFormat/>
    <w:uiPriority w:val="0"/>
    <w:rPr>
      <w:color w:val="337AB7"/>
      <w:u w:val="none"/>
    </w:rPr>
  </w:style>
  <w:style w:type="character" w:styleId="10">
    <w:name w:val="Emphasis"/>
    <w:basedOn w:val="7"/>
    <w:qFormat/>
    <w:uiPriority w:val="0"/>
  </w:style>
  <w:style w:type="character" w:styleId="11">
    <w:name w:val="HTML Definition"/>
    <w:basedOn w:val="7"/>
    <w:qFormat/>
    <w:uiPriority w:val="0"/>
    <w:rPr>
      <w:i/>
      <w:iCs/>
    </w:rPr>
  </w:style>
  <w:style w:type="character" w:styleId="12">
    <w:name w:val="Hyperlink"/>
    <w:basedOn w:val="7"/>
    <w:qFormat/>
    <w:uiPriority w:val="0"/>
    <w:rPr>
      <w:color w:val="337AB7"/>
      <w:u w:val="none"/>
    </w:rPr>
  </w:style>
  <w:style w:type="character" w:styleId="13">
    <w:name w:val="HTML Code"/>
    <w:basedOn w:val="7"/>
    <w:qFormat/>
    <w:uiPriority w:val="0"/>
    <w:rPr>
      <w:rFonts w:hint="default" w:ascii="Consolas" w:hAnsi="Consolas" w:eastAsia="Consolas" w:cs="Consolas"/>
      <w:color w:val="C7254E"/>
      <w:sz w:val="21"/>
      <w:szCs w:val="21"/>
      <w:shd w:val="clear" w:fill="F9F2F4"/>
    </w:rPr>
  </w:style>
  <w:style w:type="character" w:styleId="14">
    <w:name w:val="HTML Keyboard"/>
    <w:basedOn w:val="7"/>
    <w:qFormat/>
    <w:uiPriority w:val="0"/>
    <w:rPr>
      <w:rFonts w:ascii="Consolas" w:hAnsi="Consolas" w:eastAsia="Consolas" w:cs="Consolas"/>
      <w:color w:val="FFFFFF"/>
      <w:sz w:val="21"/>
      <w:szCs w:val="21"/>
      <w:shd w:val="clear" w:fill="333333"/>
    </w:rPr>
  </w:style>
  <w:style w:type="character" w:styleId="15">
    <w:name w:val="HTML Sample"/>
    <w:basedOn w:val="7"/>
    <w:qFormat/>
    <w:uiPriority w:val="0"/>
    <w:rPr>
      <w:rFonts w:hint="default" w:ascii="Consolas" w:hAnsi="Consolas" w:eastAsia="Consolas" w:cs="Consolas"/>
      <w:sz w:val="21"/>
      <w:szCs w:val="21"/>
    </w:rPr>
  </w:style>
  <w:style w:type="character" w:customStyle="1" w:styleId="16">
    <w:name w:val="sp7"/>
    <w:basedOn w:val="7"/>
    <w:qFormat/>
    <w:uiPriority w:val="0"/>
  </w:style>
  <w:style w:type="character" w:customStyle="1" w:styleId="17">
    <w:name w:val="sp6"/>
    <w:basedOn w:val="7"/>
    <w:qFormat/>
    <w:uiPriority w:val="0"/>
  </w:style>
  <w:style w:type="character" w:customStyle="1" w:styleId="18">
    <w:name w:val="sp3"/>
    <w:basedOn w:val="7"/>
    <w:qFormat/>
    <w:uiPriority w:val="0"/>
  </w:style>
  <w:style w:type="character" w:customStyle="1" w:styleId="19">
    <w:name w:val="sp4"/>
    <w:basedOn w:val="7"/>
    <w:qFormat/>
    <w:uiPriority w:val="0"/>
  </w:style>
  <w:style w:type="character" w:customStyle="1" w:styleId="20">
    <w:name w:val="sp5"/>
    <w:basedOn w:val="7"/>
    <w:qFormat/>
    <w:uiPriority w:val="0"/>
  </w:style>
  <w:style w:type="character" w:customStyle="1" w:styleId="21">
    <w:name w:val="sp1"/>
    <w:basedOn w:val="7"/>
    <w:qFormat/>
    <w:uiPriority w:val="0"/>
  </w:style>
  <w:style w:type="character" w:customStyle="1" w:styleId="22">
    <w:name w:val="sp2"/>
    <w:basedOn w:val="7"/>
    <w:qFormat/>
    <w:uiPriority w:val="0"/>
  </w:style>
  <w:style w:type="character" w:customStyle="1" w:styleId="23">
    <w:name w:val="last"/>
    <w:basedOn w:val="7"/>
    <w:qFormat/>
    <w:uiPriority w:val="0"/>
  </w:style>
  <w:style w:type="character" w:customStyle="1" w:styleId="24">
    <w:name w:val="last1"/>
    <w:basedOn w:val="7"/>
    <w:qFormat/>
    <w:uiPriority w:val="0"/>
  </w:style>
  <w:style w:type="character" w:customStyle="1" w:styleId="25">
    <w:name w:val="s3"/>
    <w:basedOn w:val="7"/>
    <w:qFormat/>
    <w:uiPriority w:val="0"/>
  </w:style>
  <w:style w:type="character" w:customStyle="1" w:styleId="26">
    <w:name w:val="bsharetext"/>
    <w:basedOn w:val="7"/>
    <w:qFormat/>
    <w:uiPriority w:val="0"/>
  </w:style>
  <w:style w:type="character" w:customStyle="1" w:styleId="27">
    <w:name w:val="after"/>
    <w:basedOn w:val="7"/>
    <w:qFormat/>
    <w:uiPriority w:val="0"/>
  </w:style>
  <w:style w:type="character" w:customStyle="1" w:styleId="28">
    <w:name w:val="box5"/>
    <w:basedOn w:val="7"/>
    <w:qFormat/>
    <w:uiPriority w:val="0"/>
    <w:rPr>
      <w:rFonts w:ascii="微软雅黑" w:hAnsi="微软雅黑" w:eastAsia="微软雅黑" w:cs="微软雅黑"/>
      <w:sz w:val="21"/>
      <w:szCs w:val="21"/>
    </w:rPr>
  </w:style>
  <w:style w:type="character" w:customStyle="1" w:styleId="29">
    <w:name w:val="active4"/>
    <w:basedOn w:val="7"/>
    <w:qFormat/>
    <w:uiPriority w:val="0"/>
    <w:rPr>
      <w:shd w:val="clear" w:fill="20A0E4"/>
    </w:rPr>
  </w:style>
  <w:style w:type="character" w:customStyle="1" w:styleId="30">
    <w:name w:val="active5"/>
    <w:basedOn w:val="7"/>
    <w:qFormat/>
    <w:uiPriority w:val="0"/>
    <w:rPr>
      <w:color w:val="FFFFFF"/>
      <w:shd w:val="clear" w:fill="0069AE"/>
    </w:rPr>
  </w:style>
  <w:style w:type="character" w:customStyle="1" w:styleId="31">
    <w:name w:val="time2"/>
    <w:basedOn w:val="7"/>
    <w:qFormat/>
    <w:uiPriority w:val="0"/>
    <w:rPr>
      <w:rFonts w:ascii="Arial" w:hAnsi="Arial" w:cs="Arial"/>
      <w:color w:val="999999"/>
      <w:sz w:val="21"/>
      <w:szCs w:val="21"/>
    </w:rPr>
  </w:style>
  <w:style w:type="character" w:customStyle="1" w:styleId="32">
    <w:name w:val="select2-selection__rendered"/>
    <w:basedOn w:val="7"/>
    <w:qFormat/>
    <w:uiPriority w:val="0"/>
    <w:rPr>
      <w:sz w:val="18"/>
      <w:szCs w:val="18"/>
    </w:rPr>
  </w:style>
  <w:style w:type="character" w:customStyle="1" w:styleId="33">
    <w:name w:val="hover75"/>
    <w:basedOn w:val="7"/>
    <w:qFormat/>
    <w:uiPriority w:val="0"/>
    <w:rPr>
      <w:color w:val="000000"/>
      <w:shd w:val="clear" w:fill="FFFFFF"/>
    </w:rPr>
  </w:style>
  <w:style w:type="character" w:customStyle="1" w:styleId="34">
    <w:name w:val="hover73"/>
    <w:basedOn w:val="7"/>
    <w:qFormat/>
    <w:uiPriority w:val="0"/>
    <w:rPr>
      <w:color w:val="000000"/>
      <w:shd w:val="clear" w:fill="FFFFFF"/>
    </w:rPr>
  </w:style>
  <w:style w:type="character" w:customStyle="1" w:styleId="35">
    <w:name w:val="box"/>
    <w:basedOn w:val="7"/>
    <w:qFormat/>
    <w:uiPriority w:val="0"/>
    <w:rPr>
      <w:rFonts w:ascii="微软雅黑" w:hAnsi="微软雅黑" w:eastAsia="微软雅黑" w:cs="微软雅黑"/>
      <w:color w:val="666666"/>
      <w:sz w:val="21"/>
      <w:szCs w:val="21"/>
      <w:shd w:val="clear" w:fill="FFFFFF"/>
    </w:rPr>
  </w:style>
  <w:style w:type="character" w:customStyle="1" w:styleId="36">
    <w:name w:val="active20"/>
    <w:basedOn w:val="7"/>
    <w:qFormat/>
    <w:uiPriority w:val="0"/>
    <w:rPr>
      <w:color w:val="FFFFFF"/>
      <w:shd w:val="clear" w:fill="0069AE"/>
    </w:rPr>
  </w:style>
  <w:style w:type="character" w:customStyle="1" w:styleId="37">
    <w:name w:val="active21"/>
    <w:basedOn w:val="7"/>
    <w:qFormat/>
    <w:uiPriority w:val="0"/>
    <w:rPr>
      <w:shd w:val="clear" w:fill="20A0E4"/>
    </w:rPr>
  </w:style>
  <w:style w:type="character" w:customStyle="1" w:styleId="38">
    <w:name w:val="time"/>
    <w:basedOn w:val="7"/>
    <w:qFormat/>
    <w:uiPriority w:val="0"/>
    <w:rPr>
      <w:rFonts w:ascii="Arial" w:hAnsi="Arial" w:cs="Arial"/>
      <w:color w:val="999999"/>
      <w:sz w:val="21"/>
      <w:szCs w:val="21"/>
    </w:rPr>
  </w:style>
  <w:style w:type="character" w:customStyle="1" w:styleId="39">
    <w:name w:val="hover"/>
    <w:basedOn w:val="7"/>
    <w:qFormat/>
    <w:uiPriority w:val="0"/>
    <w:rPr>
      <w:color w:val="000000"/>
      <w:shd w:val="clear" w:fill="FFFFFF"/>
    </w:rPr>
  </w:style>
  <w:style w:type="character" w:customStyle="1" w:styleId="40">
    <w:name w:val="after2"/>
    <w:basedOn w:val="7"/>
    <w:qFormat/>
    <w:uiPriority w:val="0"/>
  </w:style>
  <w:style w:type="character" w:customStyle="1" w:styleId="41">
    <w:name w:val="box6"/>
    <w:basedOn w:val="7"/>
    <w:qFormat/>
    <w:uiPriority w:val="0"/>
    <w:rPr>
      <w:rFonts w:ascii="微软雅黑" w:hAnsi="微软雅黑" w:eastAsia="微软雅黑" w:cs="微软雅黑"/>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2022-01-05T08:20:00Z</dcterms:created>
  <dc:creator>Administrator</dc:creator>
  <cp:lastModifiedBy>WPS_1488357311</cp:lastModifiedBy>
  <cp:lastPrinted>2022-01-07T03:08:00Z</cp:lastPrinted>
  <dcterms:modified xsi:type="dcterms:W3CDTF">2022-02-14T03:12:26Z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092A7E9767D74ECDA07193B30E466D8B</vt:lpwstr>
  </property>
</Properties>
</file>