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333333"/>
          <w:spacing w:val="0"/>
          <w:sz w:val="44"/>
          <w:szCs w:val="44"/>
          <w:shd w:val="clear" w:fill="FFFFFF"/>
        </w:rPr>
      </w:pPr>
      <w:r>
        <w:rPr>
          <w:rFonts w:hint="eastAsia" w:ascii="方正小标宋简体" w:hAnsi="方正小标宋简体" w:eastAsia="方正小标宋简体" w:cs="方正小标宋简体"/>
          <w:b w:val="0"/>
          <w:bCs w:val="0"/>
          <w:i w:val="0"/>
          <w:iCs w:val="0"/>
          <w:caps w:val="0"/>
          <w:color w:val="333333"/>
          <w:spacing w:val="0"/>
          <w:sz w:val="44"/>
          <w:szCs w:val="44"/>
          <w:shd w:val="clear" w:fill="FFFFFF"/>
          <w:lang w:eastAsia="zh-CN"/>
        </w:rPr>
        <w:t>乌拉特中旗应急管理局</w:t>
      </w:r>
      <w:r>
        <w:rPr>
          <w:rFonts w:hint="eastAsia" w:ascii="方正小标宋简体" w:hAnsi="方正小标宋简体" w:eastAsia="方正小标宋简体" w:cs="方正小标宋简体"/>
          <w:b w:val="0"/>
          <w:bCs w:val="0"/>
          <w:i w:val="0"/>
          <w:iCs w:val="0"/>
          <w:caps w:val="0"/>
          <w:color w:val="333333"/>
          <w:spacing w:val="0"/>
          <w:sz w:val="44"/>
          <w:szCs w:val="44"/>
          <w:shd w:val="clear" w:fill="FFFFFF"/>
          <w:lang w:val="en-US" w:eastAsia="zh-CN"/>
        </w:rPr>
        <w:t>2021年度</w:t>
      </w:r>
      <w:r>
        <w:rPr>
          <w:rFonts w:hint="eastAsia" w:ascii="方正小标宋简体" w:hAnsi="方正小标宋简体" w:eastAsia="方正小标宋简体" w:cs="方正小标宋简体"/>
          <w:b w:val="0"/>
          <w:bCs w:val="0"/>
          <w:i w:val="0"/>
          <w:iCs w:val="0"/>
          <w:caps w:val="0"/>
          <w:color w:val="333333"/>
          <w:spacing w:val="0"/>
          <w:sz w:val="44"/>
          <w:szCs w:val="44"/>
          <w:shd w:val="clear" w:fill="FFFFFF"/>
        </w:rPr>
        <w:t>政府信息公开工作年度报告</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黑体" w:hAnsi="黑体" w:eastAsia="黑体" w:cs="黑体"/>
          <w:b w:val="0"/>
          <w:bCs w:val="0"/>
          <w:i w:val="0"/>
          <w:iCs w:val="0"/>
          <w:caps w:val="0"/>
          <w:color w:val="333333"/>
          <w:spacing w:val="0"/>
          <w:sz w:val="32"/>
          <w:szCs w:val="32"/>
          <w:shd w:val="clear" w:fill="FFFFFF"/>
        </w:rPr>
      </w:pP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黑体" w:hAnsi="黑体" w:eastAsia="黑体" w:cs="黑体"/>
          <w:b w:val="0"/>
          <w:bCs w:val="0"/>
          <w:i w:val="0"/>
          <w:iCs w:val="0"/>
          <w:caps w:val="0"/>
          <w:color w:val="333333"/>
          <w:spacing w:val="0"/>
          <w:sz w:val="32"/>
          <w:szCs w:val="32"/>
          <w:shd w:val="clear" w:fill="FFFFFF"/>
        </w:rPr>
      </w:pPr>
      <w:r>
        <w:rPr>
          <w:rFonts w:hint="eastAsia" w:ascii="黑体" w:hAnsi="黑体" w:eastAsia="黑体" w:cs="黑体"/>
          <w:b w:val="0"/>
          <w:bCs w:val="0"/>
          <w:i w:val="0"/>
          <w:iCs w:val="0"/>
          <w:caps w:val="0"/>
          <w:color w:val="333333"/>
          <w:spacing w:val="0"/>
          <w:sz w:val="32"/>
          <w:szCs w:val="32"/>
          <w:shd w:val="clear" w:fill="FFFFFF"/>
          <w:lang w:eastAsia="zh-CN"/>
        </w:rPr>
        <w:t>一、</w:t>
      </w:r>
      <w:r>
        <w:rPr>
          <w:rFonts w:hint="eastAsia" w:ascii="黑体" w:hAnsi="黑体" w:eastAsia="黑体" w:cs="黑体"/>
          <w:b w:val="0"/>
          <w:bCs w:val="0"/>
          <w:i w:val="0"/>
          <w:iCs w:val="0"/>
          <w:caps w:val="0"/>
          <w:color w:val="333333"/>
          <w:spacing w:val="0"/>
          <w:sz w:val="32"/>
          <w:szCs w:val="32"/>
          <w:shd w:val="clear" w:fill="FFFFFF"/>
        </w:rPr>
        <w:t>总体情况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20</w:t>
      </w:r>
      <w:r>
        <w:rPr>
          <w:rFonts w:hint="eastAsia" w:ascii="仿宋_GB2312" w:hAnsi="仿宋_GB2312" w:eastAsia="仿宋_GB2312" w:cs="仿宋_GB2312"/>
          <w:i w:val="0"/>
          <w:caps w:val="0"/>
          <w:color w:val="000000"/>
          <w:spacing w:val="0"/>
          <w:sz w:val="32"/>
          <w:szCs w:val="32"/>
          <w:shd w:val="clear" w:fill="FFFFFF"/>
          <w:lang w:val="en-US" w:eastAsia="zh-CN"/>
        </w:rPr>
        <w:t>21</w:t>
      </w:r>
      <w:r>
        <w:rPr>
          <w:rFonts w:hint="eastAsia" w:ascii="仿宋_GB2312" w:hAnsi="仿宋_GB2312" w:eastAsia="仿宋_GB2312" w:cs="仿宋_GB2312"/>
          <w:i w:val="0"/>
          <w:caps w:val="0"/>
          <w:color w:val="000000"/>
          <w:spacing w:val="0"/>
          <w:sz w:val="32"/>
          <w:szCs w:val="32"/>
          <w:shd w:val="clear" w:fill="FFFFFF"/>
        </w:rPr>
        <w:t>年，乌拉特</w:t>
      </w:r>
      <w:r>
        <w:rPr>
          <w:rFonts w:hint="eastAsia" w:ascii="仿宋_GB2312" w:hAnsi="仿宋_GB2312" w:eastAsia="仿宋_GB2312" w:cs="仿宋_GB2312"/>
          <w:i w:val="0"/>
          <w:caps w:val="0"/>
          <w:color w:val="000000"/>
          <w:spacing w:val="0"/>
          <w:sz w:val="32"/>
          <w:szCs w:val="32"/>
          <w:shd w:val="clear" w:fill="FFFFFF"/>
          <w:lang w:eastAsia="zh-CN"/>
        </w:rPr>
        <w:t>中</w:t>
      </w:r>
      <w:r>
        <w:rPr>
          <w:rFonts w:hint="eastAsia" w:ascii="仿宋_GB2312" w:hAnsi="仿宋_GB2312" w:eastAsia="仿宋_GB2312" w:cs="仿宋_GB2312"/>
          <w:i w:val="0"/>
          <w:caps w:val="0"/>
          <w:color w:val="000000"/>
          <w:spacing w:val="0"/>
          <w:sz w:val="32"/>
          <w:szCs w:val="32"/>
          <w:shd w:val="clear" w:fill="FFFFFF"/>
        </w:rPr>
        <w:t>旗</w:t>
      </w:r>
      <w:r>
        <w:rPr>
          <w:rFonts w:hint="eastAsia" w:ascii="仿宋_GB2312" w:hAnsi="仿宋_GB2312" w:eastAsia="仿宋_GB2312" w:cs="仿宋_GB2312"/>
          <w:i w:val="0"/>
          <w:caps w:val="0"/>
          <w:color w:val="000000"/>
          <w:spacing w:val="0"/>
          <w:sz w:val="32"/>
          <w:szCs w:val="32"/>
          <w:shd w:val="clear" w:fill="FFFFFF"/>
          <w:lang w:eastAsia="zh-CN"/>
        </w:rPr>
        <w:t>应急管理局</w:t>
      </w:r>
      <w:r>
        <w:rPr>
          <w:rFonts w:hint="eastAsia" w:ascii="仿宋_GB2312" w:hAnsi="仿宋_GB2312" w:eastAsia="仿宋_GB2312" w:cs="仿宋_GB2312"/>
          <w:i w:val="0"/>
          <w:caps w:val="0"/>
          <w:color w:val="000000"/>
          <w:spacing w:val="0"/>
          <w:sz w:val="32"/>
          <w:szCs w:val="32"/>
          <w:shd w:val="clear" w:fill="FFFFFF"/>
        </w:rPr>
        <w:t>严格按照《中华人民共和国政府信息公开条例》,全面贯彻《国务院办公厅政府信息与政务公开办公室关于政府信息公开工作年度报告有关事项的通知》规定，在旗委、政府的正确领导下，坚持以</w:t>
      </w:r>
      <w:r>
        <w:rPr>
          <w:rFonts w:hint="eastAsia" w:ascii="仿宋_GB2312" w:hAnsi="仿宋_GB2312" w:eastAsia="仿宋_GB2312" w:cs="仿宋_GB2312"/>
          <w:i w:val="0"/>
          <w:caps w:val="0"/>
          <w:color w:val="000000"/>
          <w:spacing w:val="0"/>
          <w:sz w:val="32"/>
          <w:szCs w:val="32"/>
          <w:shd w:val="clear" w:fill="FFFFFF"/>
          <w:lang w:eastAsia="zh-CN"/>
        </w:rPr>
        <w:t>“</w:t>
      </w:r>
      <w:r>
        <w:rPr>
          <w:rFonts w:hint="eastAsia" w:ascii="仿宋_GB2312" w:hAnsi="仿宋_GB2312" w:eastAsia="仿宋_GB2312" w:cs="仿宋_GB2312"/>
          <w:i w:val="0"/>
          <w:caps w:val="0"/>
          <w:color w:val="000000"/>
          <w:spacing w:val="0"/>
          <w:sz w:val="32"/>
          <w:szCs w:val="32"/>
          <w:shd w:val="clear" w:fill="FFFFFF"/>
        </w:rPr>
        <w:t>公开为常态、不公开为例外</w:t>
      </w:r>
      <w:r>
        <w:rPr>
          <w:rFonts w:hint="eastAsia" w:ascii="仿宋_GB2312" w:hAnsi="仿宋_GB2312" w:eastAsia="仿宋_GB2312" w:cs="仿宋_GB2312"/>
          <w:i w:val="0"/>
          <w:caps w:val="0"/>
          <w:color w:val="000000"/>
          <w:spacing w:val="0"/>
          <w:sz w:val="32"/>
          <w:szCs w:val="32"/>
          <w:shd w:val="clear" w:fill="FFFFFF"/>
          <w:lang w:eastAsia="zh-CN"/>
        </w:rPr>
        <w:t>”</w:t>
      </w:r>
      <w:r>
        <w:rPr>
          <w:rFonts w:hint="eastAsia" w:ascii="仿宋_GB2312" w:hAnsi="仿宋_GB2312" w:eastAsia="仿宋_GB2312" w:cs="仿宋_GB2312"/>
          <w:i w:val="0"/>
          <w:caps w:val="0"/>
          <w:color w:val="000000"/>
          <w:spacing w:val="0"/>
          <w:sz w:val="32"/>
          <w:szCs w:val="32"/>
          <w:shd w:val="clear" w:fill="FFFFFF"/>
        </w:rPr>
        <w:t>，以加强作风建设、提高行政效率为目标，紧紧围绕</w:t>
      </w:r>
      <w:r>
        <w:rPr>
          <w:rFonts w:hint="eastAsia" w:ascii="仿宋_GB2312" w:hAnsi="仿宋_GB2312" w:eastAsia="仿宋_GB2312" w:cs="仿宋_GB2312"/>
          <w:i w:val="0"/>
          <w:caps w:val="0"/>
          <w:color w:val="000000"/>
          <w:spacing w:val="0"/>
          <w:sz w:val="32"/>
          <w:szCs w:val="32"/>
          <w:shd w:val="clear" w:fill="FFFFFF"/>
          <w:lang w:eastAsia="zh-CN"/>
        </w:rPr>
        <w:t>应急管理与安全生产</w:t>
      </w:r>
      <w:r>
        <w:rPr>
          <w:rFonts w:hint="eastAsia" w:ascii="仿宋_GB2312" w:hAnsi="仿宋_GB2312" w:eastAsia="仿宋_GB2312" w:cs="仿宋_GB2312"/>
          <w:i w:val="0"/>
          <w:caps w:val="0"/>
          <w:color w:val="000000"/>
          <w:spacing w:val="0"/>
          <w:sz w:val="32"/>
          <w:szCs w:val="32"/>
          <w:shd w:val="clear" w:fill="FFFFFF"/>
        </w:rPr>
        <w:t>工作，切实履行政务公开职责，进一步提高了政府工作透明度，有效地保障了公民的知情权，为全旗</w:t>
      </w:r>
      <w:r>
        <w:rPr>
          <w:rFonts w:hint="eastAsia" w:ascii="仿宋_GB2312" w:hAnsi="仿宋_GB2312" w:eastAsia="仿宋_GB2312" w:cs="仿宋_GB2312"/>
          <w:i w:val="0"/>
          <w:caps w:val="0"/>
          <w:color w:val="000000"/>
          <w:spacing w:val="0"/>
          <w:sz w:val="32"/>
          <w:szCs w:val="32"/>
          <w:shd w:val="clear" w:fill="FFFFFF"/>
          <w:lang w:eastAsia="zh-CN"/>
        </w:rPr>
        <w:t>生产安全</w:t>
      </w:r>
      <w:r>
        <w:rPr>
          <w:rFonts w:hint="eastAsia" w:ascii="仿宋_GB2312" w:hAnsi="仿宋_GB2312" w:eastAsia="仿宋_GB2312" w:cs="仿宋_GB2312"/>
          <w:i w:val="0"/>
          <w:caps w:val="0"/>
          <w:color w:val="000000"/>
          <w:spacing w:val="0"/>
          <w:sz w:val="32"/>
          <w:szCs w:val="32"/>
          <w:shd w:val="clear" w:fill="FFFFFF"/>
        </w:rPr>
        <w:t>创造了良好的环境。</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3" w:firstLineChars="200"/>
        <w:textAlignment w:val="auto"/>
        <w:rPr>
          <w:rFonts w:hint="eastAsia" w:ascii="仿宋_GB2312" w:hAnsi="仿宋_GB2312" w:eastAsia="仿宋_GB2312" w:cs="仿宋_GB2312"/>
          <w:i w:val="0"/>
          <w:caps w:val="0"/>
          <w:color w:val="000000"/>
          <w:spacing w:val="0"/>
          <w:sz w:val="32"/>
          <w:szCs w:val="32"/>
          <w:shd w:val="clear" w:fill="FFFFFF"/>
        </w:rPr>
      </w:pPr>
      <w:r>
        <w:rPr>
          <w:rFonts w:hint="eastAsia" w:ascii="仿宋_GB2312" w:hAnsi="仿宋_GB2312" w:eastAsia="仿宋_GB2312" w:cs="仿宋_GB2312"/>
          <w:b/>
          <w:bCs/>
          <w:i w:val="0"/>
          <w:caps w:val="0"/>
          <w:color w:val="000000"/>
          <w:spacing w:val="0"/>
          <w:sz w:val="32"/>
          <w:szCs w:val="32"/>
          <w:shd w:val="clear" w:fill="FFFFFF"/>
          <w:lang w:eastAsia="zh-CN"/>
        </w:rPr>
        <w:t>（一）</w:t>
      </w:r>
      <w:r>
        <w:rPr>
          <w:rFonts w:hint="eastAsia" w:ascii="仿宋_GB2312" w:hAnsi="仿宋_GB2312" w:eastAsia="仿宋_GB2312" w:cs="仿宋_GB2312"/>
          <w:b/>
          <w:bCs/>
          <w:i w:val="0"/>
          <w:caps w:val="0"/>
          <w:color w:val="000000"/>
          <w:spacing w:val="0"/>
          <w:sz w:val="32"/>
          <w:szCs w:val="32"/>
          <w:shd w:val="clear" w:fill="FFFFFF"/>
        </w:rPr>
        <w:t>强化组织领导。</w:t>
      </w:r>
      <w:r>
        <w:rPr>
          <w:rFonts w:hint="eastAsia" w:ascii="仿宋_GB2312" w:hAnsi="仿宋_GB2312" w:eastAsia="仿宋_GB2312" w:cs="仿宋_GB2312"/>
          <w:i w:val="0"/>
          <w:caps w:val="0"/>
          <w:color w:val="000000"/>
          <w:spacing w:val="0"/>
          <w:sz w:val="32"/>
          <w:szCs w:val="32"/>
          <w:shd w:val="clear" w:fill="FFFFFF"/>
        </w:rPr>
        <w:t>将政府信息公开工作列入重要议事日程，高度重视政府信息公开工作，按照政务公开管理体制和工作机制，结合我</w:t>
      </w:r>
      <w:r>
        <w:rPr>
          <w:rFonts w:hint="eastAsia" w:ascii="仿宋_GB2312" w:hAnsi="仿宋_GB2312" w:eastAsia="仿宋_GB2312" w:cs="仿宋_GB2312"/>
          <w:i w:val="0"/>
          <w:caps w:val="0"/>
          <w:color w:val="000000"/>
          <w:spacing w:val="0"/>
          <w:sz w:val="32"/>
          <w:szCs w:val="32"/>
          <w:shd w:val="clear" w:fill="FFFFFF"/>
          <w:lang w:eastAsia="zh-CN"/>
        </w:rPr>
        <w:t>局</w:t>
      </w:r>
      <w:r>
        <w:rPr>
          <w:rFonts w:hint="eastAsia" w:ascii="仿宋_GB2312" w:hAnsi="仿宋_GB2312" w:eastAsia="仿宋_GB2312" w:cs="仿宋_GB2312"/>
          <w:i w:val="0"/>
          <w:caps w:val="0"/>
          <w:color w:val="000000"/>
          <w:spacing w:val="0"/>
          <w:sz w:val="32"/>
          <w:szCs w:val="32"/>
          <w:shd w:val="clear" w:fill="FFFFFF"/>
        </w:rPr>
        <w:t>政务公开工作实际，重新调整了政务公开工作领导小组，推进政府信息公开工作正常开展。</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3" w:firstLineChars="200"/>
        <w:textAlignment w:val="auto"/>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b/>
          <w:bCs/>
          <w:i w:val="0"/>
          <w:caps w:val="0"/>
          <w:color w:val="000000"/>
          <w:spacing w:val="0"/>
          <w:sz w:val="32"/>
          <w:szCs w:val="32"/>
          <w:shd w:val="clear" w:fill="FFFFFF"/>
          <w:lang w:eastAsia="zh-CN"/>
        </w:rPr>
        <w:t>（二）</w:t>
      </w:r>
      <w:r>
        <w:rPr>
          <w:rFonts w:hint="eastAsia" w:ascii="仿宋_GB2312" w:hAnsi="仿宋_GB2312" w:eastAsia="仿宋_GB2312" w:cs="仿宋_GB2312"/>
          <w:b/>
          <w:bCs/>
          <w:i w:val="0"/>
          <w:caps w:val="0"/>
          <w:color w:val="000000"/>
          <w:spacing w:val="0"/>
          <w:sz w:val="32"/>
          <w:szCs w:val="32"/>
          <w:shd w:val="clear" w:fill="FFFFFF"/>
        </w:rPr>
        <w:t>明确目标任务。</w:t>
      </w:r>
      <w:r>
        <w:rPr>
          <w:rFonts w:hint="eastAsia" w:ascii="仿宋_GB2312" w:hAnsi="仿宋_GB2312" w:eastAsia="仿宋_GB2312" w:cs="仿宋_GB2312"/>
          <w:i w:val="0"/>
          <w:caps w:val="0"/>
          <w:color w:val="000000"/>
          <w:spacing w:val="0"/>
          <w:sz w:val="32"/>
          <w:szCs w:val="32"/>
          <w:shd w:val="clear" w:fill="FFFFFF"/>
        </w:rPr>
        <w:t>为切实抓好政府信息公开工作，明确专人负责此项工作，将编制发布任务分解细化，落实到人，对各类公开信息要求做到分类规范，目录清晰，及时发布。同时,加强信息发布的审查、审核工作和保密工作。 </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firstLine="643" w:firstLineChars="200"/>
        <w:textAlignment w:val="auto"/>
        <w:rPr>
          <w:rFonts w:hint="eastAsia" w:ascii="仿宋_GB2312" w:hAnsi="仿宋_GB2312" w:eastAsia="仿宋_GB2312" w:cs="仿宋_GB2312"/>
          <w:i w:val="0"/>
          <w:caps w:val="0"/>
          <w:color w:val="000000"/>
          <w:spacing w:val="0"/>
          <w:sz w:val="32"/>
          <w:szCs w:val="32"/>
          <w:shd w:val="clear" w:fill="FFFFFF"/>
        </w:rPr>
      </w:pPr>
      <w:r>
        <w:rPr>
          <w:rFonts w:hint="eastAsia" w:ascii="仿宋_GB2312" w:hAnsi="仿宋_GB2312" w:eastAsia="仿宋_GB2312" w:cs="仿宋_GB2312"/>
          <w:b/>
          <w:bCs/>
          <w:i w:val="0"/>
          <w:caps w:val="0"/>
          <w:color w:val="000000"/>
          <w:spacing w:val="0"/>
          <w:sz w:val="32"/>
          <w:szCs w:val="32"/>
          <w:shd w:val="clear" w:fill="FFFFFF"/>
          <w:lang w:eastAsia="zh-CN"/>
        </w:rPr>
        <w:t>（三）</w:t>
      </w:r>
      <w:r>
        <w:rPr>
          <w:rFonts w:hint="eastAsia" w:ascii="仿宋_GB2312" w:hAnsi="仿宋_GB2312" w:eastAsia="仿宋_GB2312" w:cs="仿宋_GB2312"/>
          <w:b/>
          <w:bCs/>
          <w:i w:val="0"/>
          <w:caps w:val="0"/>
          <w:color w:val="000000"/>
          <w:spacing w:val="0"/>
          <w:sz w:val="32"/>
          <w:szCs w:val="32"/>
          <w:shd w:val="clear" w:fill="FFFFFF"/>
        </w:rPr>
        <w:t>落实工作措施。</w:t>
      </w:r>
      <w:r>
        <w:rPr>
          <w:rFonts w:hint="eastAsia" w:ascii="仿宋_GB2312" w:hAnsi="仿宋_GB2312" w:eastAsia="仿宋_GB2312" w:cs="仿宋_GB2312"/>
          <w:i w:val="0"/>
          <w:caps w:val="0"/>
          <w:color w:val="000000"/>
          <w:spacing w:val="0"/>
          <w:sz w:val="32"/>
          <w:szCs w:val="32"/>
          <w:shd w:val="clear" w:fill="FFFFFF"/>
        </w:rPr>
        <w:t>一是明确专职人员，专门负责政府信息平台发布工作，对需主动公开的政府信息，必须在信息产生或更新的20个工作日内在网上平台上发布。20</w:t>
      </w:r>
      <w:r>
        <w:rPr>
          <w:rFonts w:hint="eastAsia" w:ascii="仿宋_GB2312" w:hAnsi="仿宋_GB2312" w:eastAsia="仿宋_GB2312" w:cs="仿宋_GB2312"/>
          <w:i w:val="0"/>
          <w:caps w:val="0"/>
          <w:color w:val="000000"/>
          <w:spacing w:val="0"/>
          <w:sz w:val="32"/>
          <w:szCs w:val="32"/>
          <w:shd w:val="clear" w:fill="FFFFFF"/>
          <w:lang w:val="en-US" w:eastAsia="zh-CN"/>
        </w:rPr>
        <w:t>21</w:t>
      </w:r>
      <w:r>
        <w:rPr>
          <w:rFonts w:hint="eastAsia" w:ascii="仿宋_GB2312" w:hAnsi="仿宋_GB2312" w:eastAsia="仿宋_GB2312" w:cs="仿宋_GB2312"/>
          <w:i w:val="0"/>
          <w:caps w:val="0"/>
          <w:color w:val="000000"/>
          <w:spacing w:val="0"/>
          <w:sz w:val="32"/>
          <w:szCs w:val="32"/>
          <w:shd w:val="clear" w:fill="FFFFFF"/>
        </w:rPr>
        <w:t>年通过</w:t>
      </w:r>
      <w:r>
        <w:rPr>
          <w:rFonts w:hint="eastAsia" w:ascii="仿宋_GB2312" w:hAnsi="仿宋_GB2312" w:eastAsia="仿宋_GB2312" w:cs="仿宋_GB2312"/>
          <w:i w:val="0"/>
          <w:caps w:val="0"/>
          <w:color w:val="000000"/>
          <w:spacing w:val="0"/>
          <w:sz w:val="32"/>
          <w:szCs w:val="32"/>
          <w:shd w:val="clear" w:fill="FFFFFF"/>
          <w:lang w:eastAsia="zh-CN"/>
        </w:rPr>
        <w:t>乌拉特中旗“六大公开”便民监督服务平台</w:t>
      </w:r>
      <w:r>
        <w:rPr>
          <w:rFonts w:hint="eastAsia" w:ascii="仿宋_GB2312" w:hAnsi="仿宋_GB2312" w:eastAsia="仿宋_GB2312" w:cs="仿宋_GB2312"/>
          <w:i w:val="0"/>
          <w:caps w:val="0"/>
          <w:color w:val="000000"/>
          <w:spacing w:val="0"/>
          <w:sz w:val="32"/>
          <w:szCs w:val="32"/>
          <w:shd w:val="clear" w:fill="FFFFFF"/>
        </w:rPr>
        <w:t>新增主动公开政府信息</w:t>
      </w:r>
      <w:r>
        <w:rPr>
          <w:rFonts w:hint="eastAsia" w:ascii="仿宋_GB2312" w:hAnsi="仿宋_GB2312" w:eastAsia="仿宋_GB2312" w:cs="仿宋_GB2312"/>
          <w:i w:val="0"/>
          <w:caps w:val="0"/>
          <w:color w:val="000000"/>
          <w:spacing w:val="0"/>
          <w:sz w:val="32"/>
          <w:szCs w:val="32"/>
          <w:shd w:val="clear" w:fill="FFFFFF"/>
          <w:lang w:val="en-US" w:eastAsia="zh-CN"/>
        </w:rPr>
        <w:t>46</w:t>
      </w:r>
      <w:r>
        <w:rPr>
          <w:rFonts w:hint="eastAsia" w:ascii="仿宋_GB2312" w:hAnsi="仿宋_GB2312" w:eastAsia="仿宋_GB2312" w:cs="仿宋_GB2312"/>
          <w:i w:val="0"/>
          <w:caps w:val="0"/>
          <w:color w:val="000000"/>
          <w:spacing w:val="0"/>
          <w:sz w:val="32"/>
          <w:szCs w:val="32"/>
          <w:shd w:val="clear" w:fill="FFFFFF"/>
        </w:rPr>
        <w:t>条，</w:t>
      </w:r>
      <w:r>
        <w:rPr>
          <w:rFonts w:hint="eastAsia" w:ascii="仿宋_GB2312" w:hAnsi="仿宋_GB2312" w:eastAsia="仿宋_GB2312" w:cs="仿宋_GB2312"/>
          <w:i w:val="0"/>
          <w:caps w:val="0"/>
          <w:color w:val="000000"/>
          <w:spacing w:val="0"/>
          <w:sz w:val="32"/>
          <w:szCs w:val="32"/>
          <w:shd w:val="clear" w:fill="FFFFFF"/>
          <w:lang w:eastAsia="zh-CN"/>
        </w:rPr>
        <w:t>其中：</w:t>
      </w:r>
      <w:r>
        <w:rPr>
          <w:rFonts w:hint="eastAsia" w:ascii="仿宋_GB2312" w:hAnsi="仿宋_GB2312" w:eastAsia="仿宋_GB2312" w:cs="仿宋_GB2312"/>
          <w:i w:val="0"/>
          <w:caps w:val="0"/>
          <w:color w:val="000000"/>
          <w:spacing w:val="0"/>
          <w:sz w:val="32"/>
          <w:szCs w:val="32"/>
          <w:shd w:val="clear" w:fill="FFFFFF"/>
          <w:lang w:val="en-US" w:eastAsia="zh-CN"/>
        </w:rPr>
        <w:t>政务信息公开目录、指南1条;</w:t>
      </w:r>
      <w:r>
        <w:rPr>
          <w:rFonts w:hint="eastAsia" w:ascii="仿宋_GB2312" w:hAnsi="仿宋_GB2312" w:eastAsia="仿宋_GB2312" w:cs="仿宋_GB2312"/>
          <w:i w:val="0"/>
          <w:caps w:val="0"/>
          <w:color w:val="000000"/>
          <w:spacing w:val="0"/>
          <w:sz w:val="32"/>
          <w:szCs w:val="32"/>
          <w:shd w:val="clear" w:fill="FFFFFF"/>
          <w:lang w:eastAsia="zh-CN"/>
        </w:rPr>
        <w:t>政策文件</w:t>
      </w:r>
      <w:r>
        <w:rPr>
          <w:rFonts w:hint="eastAsia" w:ascii="仿宋_GB2312" w:hAnsi="仿宋_GB2312" w:eastAsia="仿宋_GB2312" w:cs="仿宋_GB2312"/>
          <w:i w:val="0"/>
          <w:caps w:val="0"/>
          <w:color w:val="000000"/>
          <w:spacing w:val="0"/>
          <w:sz w:val="32"/>
          <w:szCs w:val="32"/>
          <w:shd w:val="clear" w:fill="FFFFFF"/>
          <w:lang w:val="en-US" w:eastAsia="zh-CN"/>
        </w:rPr>
        <w:t>3条；政策解读4条；预决算公开2条；决策公开1条；执行公开4条；管理公开11条；服务公开11条；结果公开9条</w:t>
      </w:r>
      <w:r>
        <w:rPr>
          <w:rFonts w:hint="eastAsia" w:ascii="仿宋_GB2312" w:hAnsi="仿宋_GB2312" w:eastAsia="仿宋_GB2312" w:cs="仿宋_GB2312"/>
          <w:i w:val="0"/>
          <w:caps w:val="0"/>
          <w:color w:val="000000"/>
          <w:spacing w:val="0"/>
          <w:sz w:val="32"/>
          <w:szCs w:val="32"/>
          <w:shd w:val="clear" w:fill="FFFFFF"/>
        </w:rPr>
        <w:t>。</w:t>
      </w:r>
      <w:r>
        <w:rPr>
          <w:rFonts w:hint="eastAsia" w:ascii="仿宋_GB2312" w:hAnsi="仿宋_GB2312" w:eastAsia="仿宋_GB2312" w:cs="仿宋_GB2312"/>
          <w:i w:val="0"/>
          <w:caps w:val="0"/>
          <w:color w:val="000000"/>
          <w:spacing w:val="0"/>
          <w:sz w:val="32"/>
          <w:szCs w:val="32"/>
          <w:shd w:val="clear" w:fill="FFFFFF"/>
          <w:lang w:eastAsia="zh-CN"/>
        </w:rPr>
        <w:t>二</w:t>
      </w:r>
      <w:r>
        <w:rPr>
          <w:rFonts w:hint="eastAsia" w:ascii="仿宋_GB2312" w:hAnsi="仿宋_GB2312" w:eastAsia="仿宋_GB2312" w:cs="仿宋_GB2312"/>
          <w:i w:val="0"/>
          <w:caps w:val="0"/>
          <w:color w:val="000000"/>
          <w:spacing w:val="0"/>
          <w:sz w:val="32"/>
          <w:szCs w:val="32"/>
          <w:shd w:val="clear" w:fill="FFFFFF"/>
        </w:rPr>
        <w:t>是严格了保密审查制度。认真贯彻落实《关于切实做好政府信息网上公开前保密审查工作的通知》，明确了保密审查内容、保密审查程序，要求对所有拟公开的政府信息内容逐一进行保密审查，从严把关，确保不涉密和不泄密。同时强化目标考核和责任追究。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黑体" w:hAnsi="黑体" w:eastAsia="黑体" w:cs="黑体"/>
          <w:b w:val="0"/>
          <w:bCs w:val="0"/>
          <w:i w:val="0"/>
          <w:iCs w:val="0"/>
          <w:caps w:val="0"/>
          <w:color w:val="333333"/>
          <w:spacing w:val="0"/>
          <w:sz w:val="32"/>
          <w:szCs w:val="32"/>
          <w:shd w:val="clear" w:fill="FFFFFF"/>
        </w:rPr>
      </w:pPr>
      <w:r>
        <w:rPr>
          <w:rFonts w:hint="eastAsia" w:ascii="黑体" w:hAnsi="黑体" w:eastAsia="黑体" w:cs="黑体"/>
          <w:b w:val="0"/>
          <w:bCs w:val="0"/>
          <w:i w:val="0"/>
          <w:iCs w:val="0"/>
          <w:caps w:val="0"/>
          <w:color w:val="333333"/>
          <w:spacing w:val="0"/>
          <w:sz w:val="32"/>
          <w:szCs w:val="32"/>
          <w:shd w:val="clear" w:fill="FFFFFF"/>
        </w:rPr>
        <w:t>二、主动公开政府信息情况</w:t>
      </w:r>
    </w:p>
    <w:tbl>
      <w:tblPr>
        <w:tblStyle w:val="3"/>
        <w:tblpPr w:leftFromText="180" w:rightFromText="180" w:vertAnchor="text" w:horzAnchor="page" w:tblpX="1218" w:tblpY="52"/>
        <w:tblOverlap w:val="never"/>
        <w:tblW w:w="97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435"/>
        <w:gridCol w:w="2435"/>
        <w:gridCol w:w="2435"/>
        <w:gridCol w:w="24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trPr>
        <w:tc>
          <w:tcPr>
            <w:tcW w:w="9740" w:type="dxa"/>
            <w:gridSpan w:val="4"/>
            <w:tcBorders>
              <w:top w:val="single" w:color="auto" w:sz="8" w:space="0"/>
              <w:left w:val="single" w:color="auto" w:sz="8" w:space="0"/>
              <w:bottom w:val="single" w:color="auto" w:sz="8" w:space="0"/>
              <w:right w:val="single" w:color="auto" w:sz="8" w:space="0"/>
            </w:tcBorders>
            <w:shd w:val="clear" w:color="auto" w:fill="C6D9F1"/>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2435"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w:t>
            </w:r>
            <w:r>
              <w:rPr>
                <w:rFonts w:hint="eastAsia" w:ascii="宋体" w:hAnsi="宋体" w:eastAsia="宋体" w:cs="宋体"/>
                <w:kern w:val="0"/>
                <w:sz w:val="20"/>
                <w:szCs w:val="20"/>
                <w:lang w:val="en-US" w:eastAsia="zh-CN" w:bidi="ar"/>
              </w:rPr>
              <w:t>制发件数</w:t>
            </w:r>
          </w:p>
        </w:tc>
        <w:tc>
          <w:tcPr>
            <w:tcW w:w="2435"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本年废止件数</w:t>
            </w:r>
          </w:p>
        </w:tc>
        <w:tc>
          <w:tcPr>
            <w:tcW w:w="2435"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现行有效件</w:t>
            </w:r>
            <w:r>
              <w:rPr>
                <w:rFonts w:hint="eastAsia" w:ascii="宋体" w:hAnsi="宋体" w:eastAsia="宋体" w:cs="宋体"/>
                <w:kern w:val="0"/>
                <w:sz w:val="20"/>
                <w:szCs w:val="20"/>
                <w:lang w:val="en-US" w:eastAsia="zh-CN" w:bidi="ar"/>
              </w:rPr>
              <w:t>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规章</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1050" w:firstLineChars="500"/>
              <w:jc w:val="left"/>
              <w:rPr>
                <w:rFonts w:hint="eastAsia" w:eastAsiaTheme="minorEastAsia"/>
                <w:lang w:val="en-US" w:eastAsia="zh-CN"/>
              </w:rPr>
            </w:pPr>
            <w:r>
              <w:rPr>
                <w:rFonts w:hint="eastAsia"/>
                <w:lang w:val="en-US" w:eastAsia="zh-CN"/>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1050" w:firstLineChars="500"/>
              <w:jc w:val="left"/>
              <w:rPr>
                <w:rFonts w:hint="eastAsia" w:eastAsiaTheme="minorEastAsia"/>
                <w:lang w:val="en-US" w:eastAsia="zh-CN"/>
              </w:rPr>
            </w:pPr>
            <w:r>
              <w:rPr>
                <w:rFonts w:hint="eastAsia"/>
                <w:lang w:val="en-US" w:eastAsia="zh-CN"/>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1050" w:firstLineChars="500"/>
              <w:jc w:val="left"/>
              <w:rPr>
                <w:rFonts w:hint="eastAsia" w:eastAsiaTheme="minorEastAsia"/>
                <w:lang w:val="en-US" w:eastAsia="zh-CN"/>
              </w:rPr>
            </w:pPr>
            <w:r>
              <w:rPr>
                <w:rFonts w:hint="eastAsia"/>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行政规范性文件</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1050" w:firstLineChars="500"/>
              <w:jc w:val="left"/>
              <w:rPr>
                <w:rFonts w:hint="eastAsia" w:eastAsiaTheme="minorEastAsia"/>
                <w:lang w:val="en-US" w:eastAsia="zh-CN"/>
              </w:rPr>
            </w:pPr>
            <w:r>
              <w:rPr>
                <w:rFonts w:hint="eastAsia"/>
                <w:lang w:val="en-US" w:eastAsia="zh-CN"/>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1050" w:firstLineChars="500"/>
              <w:jc w:val="left"/>
              <w:rPr>
                <w:rFonts w:hint="eastAsia" w:eastAsiaTheme="minorEastAsia"/>
                <w:lang w:val="en-US" w:eastAsia="zh-CN"/>
              </w:rPr>
            </w:pPr>
            <w:r>
              <w:rPr>
                <w:rFonts w:hint="eastAsia"/>
                <w:lang w:val="en-US" w:eastAsia="zh-CN"/>
              </w:rPr>
              <w:t>0</w:t>
            </w:r>
          </w:p>
        </w:tc>
        <w:tc>
          <w:tcPr>
            <w:tcW w:w="2435"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1050" w:firstLineChars="500"/>
              <w:jc w:val="left"/>
              <w:rPr>
                <w:rFonts w:hint="eastAsia" w:eastAsiaTheme="minorEastAsia"/>
                <w:lang w:val="en-US" w:eastAsia="zh-CN"/>
              </w:rPr>
            </w:pPr>
            <w:r>
              <w:rPr>
                <w:rFonts w:hint="eastAsia"/>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行政许可</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2730" w:firstLineChars="1300"/>
              <w:jc w:val="left"/>
              <w:rPr>
                <w:rFonts w:hint="eastAsia" w:eastAsiaTheme="minorEastAsia"/>
                <w:lang w:val="en-US" w:eastAsia="zh-CN"/>
              </w:rPr>
            </w:pPr>
            <w:r>
              <w:rPr>
                <w:rFonts w:hint="eastAsia"/>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信息内容</w:t>
            </w:r>
          </w:p>
        </w:tc>
        <w:tc>
          <w:tcPr>
            <w:tcW w:w="7305" w:type="dxa"/>
            <w:gridSpan w:val="3"/>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行政处罚</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2730" w:firstLineChars="1300"/>
              <w:jc w:val="left"/>
              <w:rPr>
                <w:rFonts w:hint="eastAsia" w:eastAsiaTheme="minorEastAsia"/>
                <w:lang w:val="en-US" w:eastAsia="zh-CN"/>
              </w:rPr>
            </w:pPr>
            <w:r>
              <w:rPr>
                <w:rFonts w:hint="eastAsia"/>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行政强制</w:t>
            </w:r>
          </w:p>
        </w:tc>
        <w:tc>
          <w:tcPr>
            <w:tcW w:w="7305" w:type="dxa"/>
            <w:gridSpan w:val="3"/>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2730" w:firstLineChars="1300"/>
              <w:jc w:val="left"/>
              <w:rPr>
                <w:rFonts w:hint="eastAsia" w:eastAsiaTheme="minorEastAsia"/>
                <w:lang w:val="en-US" w:eastAsia="zh-CN"/>
              </w:rPr>
            </w:pPr>
            <w:r>
              <w:rPr>
                <w:rFonts w:hint="eastAsia"/>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9740" w:type="dxa"/>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7305" w:type="dxa"/>
            <w:gridSpan w:val="3"/>
            <w:tcBorders>
              <w:top w:val="nil"/>
              <w:left w:val="nil"/>
              <w:bottom w:val="single" w:color="auto" w:sz="8" w:space="0"/>
              <w:right w:val="single" w:color="000000"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trPr>
        <w:tc>
          <w:tcPr>
            <w:tcW w:w="2435" w:type="dxa"/>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行政事业性收费</w:t>
            </w:r>
          </w:p>
        </w:tc>
        <w:tc>
          <w:tcPr>
            <w:tcW w:w="7305" w:type="dxa"/>
            <w:gridSpan w:val="3"/>
            <w:tcBorders>
              <w:top w:val="nil"/>
              <w:left w:val="nil"/>
              <w:bottom w:val="single" w:color="auto" w:sz="8" w:space="0"/>
              <w:right w:val="single" w:color="000000" w:sz="8" w:space="0"/>
            </w:tcBorders>
            <w:shd w:val="clear" w:color="auto" w:fill="auto"/>
            <w:tcMar>
              <w:left w:w="57" w:type="dxa"/>
              <w:right w:w="57" w:type="dxa"/>
            </w:tcMar>
            <w:vAlign w:val="center"/>
          </w:tcPr>
          <w:p>
            <w:pPr>
              <w:ind w:firstLine="2640" w:firstLineChars="1100"/>
              <w:rPr>
                <w:rFonts w:hint="eastAsia" w:ascii="宋体" w:eastAsiaTheme="minorEastAsia"/>
                <w:sz w:val="24"/>
                <w:szCs w:val="24"/>
                <w:lang w:val="en-US" w:eastAsia="zh-CN"/>
              </w:rPr>
            </w:pPr>
            <w:r>
              <w:rPr>
                <w:rFonts w:hint="eastAsia" w:ascii="宋体"/>
                <w:sz w:val="24"/>
                <w:szCs w:val="24"/>
                <w:lang w:val="en-US" w:eastAsia="zh-CN"/>
              </w:rPr>
              <w:t>0</w:t>
            </w:r>
          </w:p>
        </w:tc>
      </w:tr>
    </w:tbl>
    <w:p>
      <w:pPr>
        <w:keepNext w:val="0"/>
        <w:keepLines w:val="0"/>
        <w:widowControl/>
        <w:suppressLineNumbers w:val="0"/>
        <w:jc w:val="left"/>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黑体" w:hAnsi="黑体" w:eastAsia="黑体" w:cs="黑体"/>
          <w:b w:val="0"/>
          <w:bCs w:val="0"/>
          <w:i w:val="0"/>
          <w:iCs w:val="0"/>
          <w:caps w:val="0"/>
          <w:color w:val="333333"/>
          <w:spacing w:val="0"/>
          <w:sz w:val="32"/>
          <w:szCs w:val="32"/>
          <w:shd w:val="clear" w:fill="FFFFFF"/>
        </w:rPr>
      </w:pPr>
      <w:r>
        <w:rPr>
          <w:rFonts w:hint="eastAsia" w:ascii="黑体" w:hAnsi="黑体" w:eastAsia="黑体" w:cs="黑体"/>
          <w:b w:val="0"/>
          <w:bCs w:val="0"/>
          <w:i w:val="0"/>
          <w:iCs w:val="0"/>
          <w:caps w:val="0"/>
          <w:color w:val="333333"/>
          <w:spacing w:val="0"/>
          <w:sz w:val="32"/>
          <w:szCs w:val="32"/>
          <w:shd w:val="clear" w:fill="FFFFFF"/>
        </w:rPr>
        <w:t>三、收到和处理政府信息公开申请情况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tbl>
      <w:tblPr>
        <w:tblStyle w:val="3"/>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768"/>
        <w:gridCol w:w="943"/>
        <w:gridCol w:w="3220"/>
        <w:gridCol w:w="688"/>
        <w:gridCol w:w="688"/>
        <w:gridCol w:w="688"/>
        <w:gridCol w:w="688"/>
        <w:gridCol w:w="688"/>
        <w:gridCol w:w="688"/>
        <w:gridCol w:w="68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31" w:type="dxa"/>
            <w:gridSpan w:val="3"/>
            <w:vMerge w:val="restart"/>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（本列数据的勾稽关系为：第一项加第二项之和，等于第三项加第四项之和</w:t>
            </w:r>
            <w:r>
              <w:rPr>
                <w:rFonts w:ascii="楷体" w:hAnsi="楷体" w:eastAsia="楷体" w:cs="楷体"/>
                <w:kern w:val="0"/>
                <w:sz w:val="20"/>
                <w:szCs w:val="20"/>
                <w:lang w:val="en-US" w:eastAsia="zh-CN" w:bidi="ar"/>
              </w:rPr>
              <w:t>）</w:t>
            </w:r>
          </w:p>
        </w:tc>
        <w:tc>
          <w:tcPr>
            <w:tcW w:w="4817" w:type="dxa"/>
            <w:gridSpan w:val="7"/>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688" w:type="dxa"/>
            <w:vMerge w:val="restart"/>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自然人</w:t>
            </w:r>
          </w:p>
        </w:tc>
        <w:tc>
          <w:tcPr>
            <w:tcW w:w="3440" w:type="dxa"/>
            <w:gridSpan w:val="5"/>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法人或其他组织</w:t>
            </w:r>
          </w:p>
        </w:tc>
        <w:tc>
          <w:tcPr>
            <w:tcW w:w="689" w:type="dxa"/>
            <w:vMerge w:val="restart"/>
            <w:tcBorders>
              <w:top w:val="single" w:color="auto" w:sz="8" w:space="0"/>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688" w:type="dxa"/>
            <w:vMerge w:val="continue"/>
            <w:tcBorders>
              <w:top w:val="nil"/>
              <w:left w:val="nil"/>
              <w:bottom w:val="single"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商业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企业</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科研</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机构</w:t>
            </w:r>
          </w:p>
        </w:tc>
        <w:tc>
          <w:tcPr>
            <w:tcW w:w="688"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社会公益组织</w:t>
            </w:r>
          </w:p>
        </w:tc>
        <w:tc>
          <w:tcPr>
            <w:tcW w:w="688"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法律服务机构</w:t>
            </w:r>
          </w:p>
        </w:tc>
        <w:tc>
          <w:tcPr>
            <w:tcW w:w="688" w:type="dxa"/>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其他</w:t>
            </w:r>
          </w:p>
        </w:tc>
        <w:tc>
          <w:tcPr>
            <w:tcW w:w="689" w:type="dxa"/>
            <w:vMerge w:val="continue"/>
            <w:tcBorders>
              <w:top w:val="single" w:color="auto" w:sz="8" w:space="0"/>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一、本年新收政府信息公开申请数量</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二、上年结转政府信息公开申请数量</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restart"/>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三、本年度办理结果</w:t>
            </w:r>
          </w:p>
        </w:tc>
        <w:tc>
          <w:tcPr>
            <w:tcW w:w="4163"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（一）予以公开</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9" w:type="dxa"/>
            <w:tcBorders>
              <w:top w:val="single" w:color="auto" w:sz="8" w:space="0"/>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4163"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（二）部分公开（区分处理的，只计这一情形，不计其他情形）</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（三）不予公开</w:t>
            </w: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1.属于国家秘密</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9" w:type="dxa"/>
            <w:tcBorders>
              <w:top w:val="single" w:color="auto" w:sz="8" w:space="0"/>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2.其他法律行政法规禁止公开</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3.危及“三安全一稳定”</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4.保护第三方合法权益</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5.属于三类内部事务信息</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6.属于四类过程性信息</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7.属于行政执法案卷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8.属于行政查询事项</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（四）无法提供</w:t>
            </w: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1.本机关不掌握相关政府信息</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2.没有现成信息需要另行制作</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3.补正后申请内容仍不明确</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（五）不予处理</w:t>
            </w: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1.信访举报投诉类申请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2.重复申请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3.要求提供公开出版物</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4.无正当理由大量反复申请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79" w:hRule="atLeast"/>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20" w:type="dxa"/>
            <w:tcBorders>
              <w:top w:val="nil"/>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5.要求行政机关确认或重新出具已获取信息</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outset"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9" w:type="dxa"/>
            <w:tcBorders>
              <w:top w:val="nil"/>
              <w:left w:val="nil"/>
              <w:bottom w:val="outset"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restart"/>
            <w:tcBorders>
              <w:top w:val="outset" w:color="auto" w:sz="8" w:space="0"/>
              <w:left w:val="nil"/>
              <w:bottom w:val="outset"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（六）其他处理</w:t>
            </w:r>
          </w:p>
        </w:tc>
        <w:tc>
          <w:tcPr>
            <w:tcW w:w="3220"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1.申请人无正当理由逾期不补正、行政机关不再处理其政府信息公开申请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lang w:val="en-US" w:eastAsia="zh-CN"/>
              </w:rPr>
            </w:pPr>
            <w:r>
              <w:rPr>
                <w:rFonts w:hint="eastAsia"/>
                <w:lang w:val="en-US" w:eastAsia="zh-CN"/>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943" w:type="dxa"/>
            <w:vMerge w:val="continue"/>
            <w:tcBorders>
              <w:top w:val="outset" w:color="auto" w:sz="8" w:space="0"/>
              <w:left w:val="nil"/>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3.其他</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left w:w="57" w:type="dxa"/>
              <w:right w:w="57" w:type="dxa"/>
            </w:tcMar>
            <w:vAlign w:val="center"/>
          </w:tcPr>
          <w:p>
            <w:pPr>
              <w:rPr>
                <w:rFonts w:hint="eastAsia" w:ascii="宋体"/>
                <w:sz w:val="24"/>
                <w:szCs w:val="24"/>
              </w:rPr>
            </w:pPr>
          </w:p>
        </w:tc>
        <w:tc>
          <w:tcPr>
            <w:tcW w:w="4163" w:type="dxa"/>
            <w:gridSpan w:val="2"/>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（七）总计</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Calibri" w:hAnsi="Calibri" w:cs="Calibri"/>
                <w:kern w:val="0"/>
                <w:sz w:val="20"/>
                <w:szCs w:val="20"/>
                <w:lang w:val="en-US" w:eastAsia="zh-CN" w:bidi="ar"/>
              </w:rPr>
              <w:t>0</w:t>
            </w:r>
            <w:r>
              <w:rPr>
                <w:rFonts w:hint="default" w:ascii="Calibri" w:hAnsi="Calibri" w:cs="Calibri" w:eastAsiaTheme="minorEastAsia"/>
                <w:kern w:val="0"/>
                <w:sz w:val="20"/>
                <w:szCs w:val="20"/>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四、结转下年度继续办理</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8" w:type="dxa"/>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default" w:ascii="Calibri" w:hAnsi="Calibri" w:cs="Calibri" w:eastAsiaTheme="minorEastAsia"/>
                <w:kern w:val="0"/>
                <w:sz w:val="20"/>
                <w:szCs w:val="20"/>
                <w:lang w:val="en-US" w:eastAsia="zh-CN" w:bidi="ar"/>
              </w:rPr>
              <w:t> </w:t>
            </w:r>
            <w:r>
              <w:rPr>
                <w:rFonts w:hint="eastAsia" w:ascii="Calibri" w:hAnsi="Calibri" w:cs="Calibri"/>
                <w:kern w:val="0"/>
                <w:sz w:val="20"/>
                <w:szCs w:val="20"/>
                <w:lang w:val="en-US" w:eastAsia="zh-CN" w:bidi="ar"/>
              </w:rPr>
              <w:t>0</w:t>
            </w:r>
          </w:p>
        </w:tc>
        <w:tc>
          <w:tcPr>
            <w:tcW w:w="689" w:type="dxa"/>
            <w:tcBorders>
              <w:top w:val="nil"/>
              <w:left w:val="nil"/>
              <w:bottom w:val="single" w:color="auto" w:sz="8" w:space="0"/>
              <w:right w:val="single" w:color="auto" w:sz="8" w:space="0"/>
            </w:tcBorders>
            <w:shd w:val="clear" w:color="auto" w:fill="auto"/>
            <w:tcMar>
              <w:left w:w="57" w:type="dxa"/>
              <w:right w:w="57" w:type="dxa"/>
            </w:tcMar>
            <w:vAlign w:val="top"/>
          </w:tcPr>
          <w:p>
            <w:pPr>
              <w:rPr>
                <w:rFonts w:hint="eastAsia" w:ascii="宋体" w:eastAsiaTheme="minorEastAsia"/>
                <w:sz w:val="24"/>
                <w:szCs w:val="24"/>
                <w:lang w:val="en-US" w:eastAsia="zh-CN"/>
              </w:rPr>
            </w:pPr>
            <w:r>
              <w:rPr>
                <w:rFonts w:hint="eastAsia" w:ascii="宋体"/>
                <w:sz w:val="24"/>
                <w:szCs w:val="24"/>
                <w:lang w:val="en-US" w:eastAsia="zh-CN"/>
              </w:rPr>
              <w:t>0</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both"/>
        <w:rPr>
          <w:rFonts w:hint="eastAsia" w:ascii="宋体" w:hAnsi="宋体" w:eastAsia="宋体" w:cs="宋体"/>
          <w:b/>
          <w:bCs/>
          <w:i w:val="0"/>
          <w:iCs w:val="0"/>
          <w:caps w:val="0"/>
          <w:color w:val="333333"/>
          <w:spacing w:val="0"/>
          <w:sz w:val="24"/>
          <w:szCs w:val="24"/>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b/>
          <w:bCs/>
          <w:i w:val="0"/>
          <w:iCs w:val="0"/>
          <w:caps w:val="0"/>
          <w:color w:val="333333"/>
          <w:spacing w:val="0"/>
          <w:sz w:val="24"/>
          <w:szCs w:val="24"/>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黑体" w:hAnsi="黑体" w:eastAsia="黑体" w:cs="黑体"/>
          <w:b w:val="0"/>
          <w:bCs w:val="0"/>
          <w:i w:val="0"/>
          <w:iCs w:val="0"/>
          <w:caps w:val="0"/>
          <w:color w:val="333333"/>
          <w:spacing w:val="0"/>
          <w:sz w:val="32"/>
          <w:szCs w:val="32"/>
          <w:shd w:val="clear" w:fill="FFFFFF"/>
        </w:rPr>
      </w:pPr>
      <w:r>
        <w:rPr>
          <w:rFonts w:hint="eastAsia" w:ascii="黑体" w:hAnsi="黑体" w:eastAsia="黑体" w:cs="黑体"/>
          <w:b w:val="0"/>
          <w:bCs w:val="0"/>
          <w:i w:val="0"/>
          <w:iCs w:val="0"/>
          <w:caps w:val="0"/>
          <w:color w:val="333333"/>
          <w:spacing w:val="0"/>
          <w:sz w:val="32"/>
          <w:szCs w:val="32"/>
          <w:shd w:val="clear" w:fill="FFFFFF"/>
        </w:rPr>
        <w:t>四、政府信息公开行政复议、行政诉讼情况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p>
    <w:tbl>
      <w:tblPr>
        <w:tblStyle w:val="3"/>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行政复议</w:t>
            </w:r>
          </w:p>
        </w:tc>
        <w:tc>
          <w:tcPr>
            <w:tcW w:w="6428" w:type="dxa"/>
            <w:gridSpan w:val="10"/>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42"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结果维持</w:t>
            </w:r>
          </w:p>
        </w:tc>
        <w:tc>
          <w:tcPr>
            <w:tcW w:w="642"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结果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纠正</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其他</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尚未</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审结</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总计</w:t>
            </w:r>
          </w:p>
        </w:tc>
        <w:tc>
          <w:tcPr>
            <w:tcW w:w="3213"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42"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642"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结果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维持</w:t>
            </w: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结果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纠正</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其他</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尚未</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审结</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总计</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结果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维持</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结果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纠正</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其他</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结果</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尚未</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审结</w:t>
            </w:r>
          </w:p>
        </w:tc>
        <w:tc>
          <w:tcPr>
            <w:tcW w:w="643"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ascii="黑体" w:hAnsi="宋体" w:eastAsia="黑体" w:cs="黑体"/>
                <w:kern w:val="0"/>
                <w:sz w:val="20"/>
                <w:szCs w:val="20"/>
                <w:lang w:val="en-US" w:eastAsia="zh-CN" w:bidi="ar"/>
              </w:rPr>
              <w:t> </w:t>
            </w:r>
            <w:r>
              <w:rPr>
                <w:rFonts w:hint="eastAsia" w:ascii="黑体" w:hAnsi="宋体" w:eastAsia="黑体" w:cs="黑体"/>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0 </w:t>
            </w: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eastAsia" w:ascii="黑体" w:hAnsi="宋体" w:eastAsia="黑体" w:cs="黑体"/>
                <w:kern w:val="0"/>
                <w:sz w:val="20"/>
                <w:szCs w:val="20"/>
                <w:lang w:val="en-US" w:eastAsia="zh-CN" w:bidi="ar"/>
              </w:rPr>
              <w:t> 0</w:t>
            </w: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eastAsia" w:ascii="黑体" w:hAnsi="宋体" w:eastAsia="黑体" w:cs="黑体"/>
                <w:kern w:val="0"/>
                <w:sz w:val="20"/>
                <w:szCs w:val="20"/>
                <w:lang w:val="en-US" w:eastAsia="zh-CN" w:bidi="ar"/>
              </w:rPr>
              <w:t> 0</w:t>
            </w: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eastAsia" w:ascii="黑体" w:hAnsi="宋体" w:eastAsia="黑体" w:cs="黑体"/>
                <w:kern w:val="0"/>
                <w:sz w:val="20"/>
                <w:szCs w:val="20"/>
                <w:lang w:val="en-US" w:eastAsia="zh-CN" w:bidi="ar"/>
              </w:rPr>
              <w:t> 0</w:t>
            </w: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eastAsia" w:ascii="黑体" w:hAnsi="宋体" w:eastAsia="黑体" w:cs="黑体"/>
                <w:kern w:val="0"/>
                <w:sz w:val="20"/>
                <w:szCs w:val="20"/>
                <w:lang w:val="en-US" w:eastAsia="zh-CN" w:bidi="ar"/>
              </w:rPr>
              <w:t> 0</w:t>
            </w:r>
          </w:p>
        </w:tc>
        <w:tc>
          <w:tcPr>
            <w:tcW w:w="642"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0 </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eastAsia" w:ascii="黑体" w:hAnsi="宋体" w:eastAsia="黑体" w:cs="黑体"/>
                <w:kern w:val="0"/>
                <w:sz w:val="20"/>
                <w:szCs w:val="20"/>
                <w:lang w:val="en-US" w:eastAsia="zh-CN" w:bidi="ar"/>
              </w:rPr>
              <w:t> 0</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0 </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eastAsia" w:ascii="黑体" w:hAnsi="宋体" w:eastAsia="黑体" w:cs="黑体"/>
                <w:kern w:val="0"/>
                <w:sz w:val="20"/>
                <w:szCs w:val="20"/>
                <w:lang w:val="en-US" w:eastAsia="zh-CN" w:bidi="ar"/>
              </w:rPr>
              <w:t> 0</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0 </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0 </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黑体" w:hAnsi="宋体" w:eastAsia="黑体" w:cs="黑体"/>
                <w:kern w:val="0"/>
                <w:sz w:val="20"/>
                <w:szCs w:val="20"/>
                <w:lang w:val="en-US" w:eastAsia="zh-CN" w:bidi="ar"/>
              </w:rPr>
              <w:t>0 </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lang w:val="en-US"/>
              </w:rPr>
            </w:pPr>
            <w:r>
              <w:rPr>
                <w:rFonts w:hint="eastAsia" w:ascii="黑体" w:hAnsi="宋体" w:eastAsia="黑体" w:cs="黑体"/>
                <w:kern w:val="0"/>
                <w:sz w:val="20"/>
                <w:szCs w:val="20"/>
                <w:lang w:val="en-US" w:eastAsia="zh-CN" w:bidi="ar"/>
              </w:rPr>
              <w:t> 0</w:t>
            </w:r>
          </w:p>
        </w:tc>
        <w:tc>
          <w:tcPr>
            <w:tcW w:w="64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eastAsiaTheme="minorEastAsia"/>
                <w:sz w:val="24"/>
                <w:szCs w:val="24"/>
                <w:lang w:val="en-US" w:eastAsia="zh-CN"/>
              </w:rPr>
            </w:pPr>
            <w:r>
              <w:rPr>
                <w:rFonts w:hint="eastAsia" w:ascii="宋体"/>
                <w:sz w:val="24"/>
                <w:szCs w:val="24"/>
                <w:lang w:val="en-US" w:eastAsia="zh-CN"/>
              </w:rPr>
              <w:t>0</w:t>
            </w:r>
          </w:p>
        </w:tc>
      </w:tr>
    </w:tbl>
    <w:p>
      <w:pPr>
        <w:keepNext w:val="0"/>
        <w:keepLines w:val="0"/>
        <w:widowControl/>
        <w:suppressLineNumbers w:val="0"/>
        <w:jc w:val="left"/>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黑体" w:hAnsi="黑体" w:eastAsia="黑体" w:cs="黑体"/>
          <w:b w:val="0"/>
          <w:bCs w:val="0"/>
          <w:i w:val="0"/>
          <w:iCs w:val="0"/>
          <w:caps w:val="0"/>
          <w:color w:val="333333"/>
          <w:spacing w:val="0"/>
          <w:sz w:val="32"/>
          <w:szCs w:val="32"/>
          <w:shd w:val="clear" w:fill="FFFFFF"/>
        </w:rPr>
      </w:pPr>
      <w:r>
        <w:rPr>
          <w:rFonts w:hint="eastAsia" w:ascii="黑体" w:hAnsi="黑体" w:eastAsia="黑体" w:cs="黑体"/>
          <w:b w:val="0"/>
          <w:bCs w:val="0"/>
          <w:i w:val="0"/>
          <w:iCs w:val="0"/>
          <w:caps w:val="0"/>
          <w:color w:val="333333"/>
          <w:spacing w:val="0"/>
          <w:sz w:val="32"/>
          <w:szCs w:val="32"/>
          <w:shd w:val="clear" w:fill="FFFFFF"/>
        </w:rPr>
        <w:t>五、存在的主要问题及改进情况</w:t>
      </w:r>
    </w:p>
    <w:p>
      <w:pPr>
        <w:pStyle w:val="2"/>
        <w:keepNext w:val="0"/>
        <w:keepLines w:val="0"/>
        <w:widowControl/>
        <w:suppressLineNumbers w:val="0"/>
        <w:shd w:val="clear" w:fill="FFFFFF"/>
        <w:spacing w:before="0" w:beforeAutospacing="0" w:after="0" w:afterAutospacing="0" w:line="15" w:lineRule="atLeast"/>
        <w:ind w:left="0" w:firstLine="640" w:firstLineChars="200"/>
        <w:rPr>
          <w:rFonts w:hint="eastAsia" w:ascii="仿宋_GB2312" w:hAnsi="仿宋_GB2312" w:eastAsia="仿宋_GB2312" w:cs="仿宋_GB2312"/>
          <w:i w:val="0"/>
          <w:caps w:val="0"/>
          <w:color w:val="000000"/>
          <w:spacing w:val="0"/>
          <w:sz w:val="32"/>
          <w:szCs w:val="32"/>
          <w:shd w:val="clear" w:fill="FFFFFF"/>
          <w:lang w:eastAsia="zh-CN"/>
        </w:rPr>
      </w:pPr>
      <w:r>
        <w:rPr>
          <w:rFonts w:hint="eastAsia" w:ascii="仿宋_GB2312" w:hAnsi="仿宋_GB2312" w:eastAsia="仿宋_GB2312" w:cs="仿宋_GB2312"/>
          <w:i w:val="0"/>
          <w:caps w:val="0"/>
          <w:color w:val="000000"/>
          <w:spacing w:val="0"/>
          <w:sz w:val="32"/>
          <w:szCs w:val="32"/>
          <w:shd w:val="clear" w:fill="FFFFFF"/>
        </w:rPr>
        <w:t>20</w:t>
      </w:r>
      <w:r>
        <w:rPr>
          <w:rFonts w:hint="eastAsia" w:ascii="仿宋_GB2312" w:hAnsi="仿宋_GB2312" w:eastAsia="仿宋_GB2312" w:cs="仿宋_GB2312"/>
          <w:i w:val="0"/>
          <w:caps w:val="0"/>
          <w:color w:val="000000"/>
          <w:spacing w:val="0"/>
          <w:sz w:val="32"/>
          <w:szCs w:val="32"/>
          <w:shd w:val="clear" w:fill="FFFFFF"/>
          <w:lang w:val="en-US" w:eastAsia="zh-CN"/>
        </w:rPr>
        <w:t>21</w:t>
      </w:r>
      <w:r>
        <w:rPr>
          <w:rFonts w:hint="eastAsia" w:ascii="仿宋_GB2312" w:hAnsi="仿宋_GB2312" w:eastAsia="仿宋_GB2312" w:cs="仿宋_GB2312"/>
          <w:i w:val="0"/>
          <w:caps w:val="0"/>
          <w:color w:val="000000"/>
          <w:spacing w:val="0"/>
          <w:sz w:val="32"/>
          <w:szCs w:val="32"/>
          <w:shd w:val="clear" w:fill="FFFFFF"/>
        </w:rPr>
        <w:t>年，乌拉特中旗</w:t>
      </w:r>
      <w:r>
        <w:rPr>
          <w:rFonts w:hint="eastAsia" w:ascii="仿宋_GB2312" w:hAnsi="仿宋_GB2312" w:eastAsia="仿宋_GB2312" w:cs="仿宋_GB2312"/>
          <w:i w:val="0"/>
          <w:caps w:val="0"/>
          <w:color w:val="000000"/>
          <w:spacing w:val="0"/>
          <w:sz w:val="32"/>
          <w:szCs w:val="32"/>
          <w:shd w:val="clear" w:fill="FFFFFF"/>
          <w:lang w:eastAsia="zh-CN"/>
        </w:rPr>
        <w:t>应急管理局</w:t>
      </w:r>
      <w:r>
        <w:rPr>
          <w:rFonts w:hint="eastAsia" w:ascii="仿宋_GB2312" w:hAnsi="仿宋_GB2312" w:eastAsia="仿宋_GB2312" w:cs="仿宋_GB2312"/>
          <w:i w:val="0"/>
          <w:caps w:val="0"/>
          <w:color w:val="000000"/>
          <w:spacing w:val="0"/>
          <w:sz w:val="32"/>
          <w:szCs w:val="32"/>
          <w:shd w:val="clear" w:fill="FFFFFF"/>
        </w:rPr>
        <w:t>信息公开工作还存在一定的问题。主要表现在：信息更新不够及时；政</w:t>
      </w:r>
      <w:r>
        <w:rPr>
          <w:rFonts w:hint="eastAsia" w:ascii="仿宋_GB2312" w:hAnsi="仿宋_GB2312" w:eastAsia="仿宋_GB2312" w:cs="仿宋_GB2312"/>
          <w:i w:val="0"/>
          <w:caps w:val="0"/>
          <w:color w:val="000000"/>
          <w:spacing w:val="0"/>
          <w:sz w:val="32"/>
          <w:szCs w:val="32"/>
          <w:shd w:val="clear" w:fill="FFFFFF"/>
          <w:lang w:eastAsia="zh-CN"/>
        </w:rPr>
        <w:t>务</w:t>
      </w:r>
      <w:r>
        <w:rPr>
          <w:rFonts w:hint="eastAsia" w:ascii="仿宋_GB2312" w:hAnsi="仿宋_GB2312" w:eastAsia="仿宋_GB2312" w:cs="仿宋_GB2312"/>
          <w:i w:val="0"/>
          <w:caps w:val="0"/>
          <w:color w:val="000000"/>
          <w:spacing w:val="0"/>
          <w:sz w:val="32"/>
          <w:szCs w:val="32"/>
          <w:shd w:val="clear" w:fill="FFFFFF"/>
        </w:rPr>
        <w:t>信息公开的实效、内容尚不能满足群众的需求；政府信息公开工作推进不平衡</w:t>
      </w:r>
      <w:r>
        <w:rPr>
          <w:rFonts w:hint="eastAsia" w:ascii="仿宋_GB2312" w:hAnsi="仿宋_GB2312" w:eastAsia="仿宋_GB2312" w:cs="仿宋_GB2312"/>
          <w:i w:val="0"/>
          <w:caps w:val="0"/>
          <w:color w:val="000000"/>
          <w:spacing w:val="0"/>
          <w:sz w:val="32"/>
          <w:szCs w:val="32"/>
          <w:shd w:val="clear" w:fill="FFFFFF"/>
          <w:lang w:eastAsia="zh-CN"/>
        </w:rPr>
        <w:t>。</w:t>
      </w:r>
    </w:p>
    <w:p>
      <w:pPr>
        <w:pStyle w:val="2"/>
        <w:keepNext w:val="0"/>
        <w:keepLines w:val="0"/>
        <w:widowControl/>
        <w:suppressLineNumbers w:val="0"/>
        <w:shd w:val="clear" w:fill="FFFFFF"/>
        <w:spacing w:before="0" w:beforeAutospacing="0" w:after="0" w:afterAutospacing="0" w:line="15" w:lineRule="atLeast"/>
        <w:ind w:left="0" w:firstLine="640" w:firstLineChars="200"/>
        <w:rPr>
          <w:rFonts w:hint="eastAsia" w:ascii="仿宋_GB2312" w:hAnsi="仿宋_GB2312" w:eastAsia="仿宋_GB2312" w:cs="仿宋_GB2312"/>
          <w:i w:val="0"/>
          <w:caps w:val="0"/>
          <w:color w:val="000000"/>
          <w:spacing w:val="0"/>
          <w:sz w:val="32"/>
          <w:szCs w:val="32"/>
          <w:shd w:val="clear" w:fill="FFFFFF"/>
        </w:rPr>
      </w:pPr>
      <w:r>
        <w:rPr>
          <w:rFonts w:hint="eastAsia" w:ascii="仿宋_GB2312" w:hAnsi="仿宋_GB2312" w:eastAsia="仿宋_GB2312" w:cs="仿宋_GB2312"/>
          <w:i w:val="0"/>
          <w:caps w:val="0"/>
          <w:color w:val="000000"/>
          <w:spacing w:val="0"/>
          <w:sz w:val="32"/>
          <w:szCs w:val="32"/>
          <w:shd w:val="clear" w:fill="FFFFFF"/>
        </w:rPr>
        <w:t>针对存在的问题，20</w:t>
      </w:r>
      <w:r>
        <w:rPr>
          <w:rFonts w:hint="eastAsia" w:ascii="仿宋_GB2312" w:hAnsi="仿宋_GB2312" w:eastAsia="仿宋_GB2312" w:cs="仿宋_GB2312"/>
          <w:i w:val="0"/>
          <w:caps w:val="0"/>
          <w:color w:val="000000"/>
          <w:spacing w:val="0"/>
          <w:sz w:val="32"/>
          <w:szCs w:val="32"/>
          <w:shd w:val="clear" w:fill="FFFFFF"/>
          <w:lang w:val="en-US" w:eastAsia="zh-CN"/>
        </w:rPr>
        <w:t>22</w:t>
      </w:r>
      <w:r>
        <w:rPr>
          <w:rFonts w:hint="eastAsia" w:ascii="仿宋_GB2312" w:hAnsi="仿宋_GB2312" w:eastAsia="仿宋_GB2312" w:cs="仿宋_GB2312"/>
          <w:i w:val="0"/>
          <w:caps w:val="0"/>
          <w:color w:val="000000"/>
          <w:spacing w:val="0"/>
          <w:sz w:val="32"/>
          <w:szCs w:val="32"/>
          <w:shd w:val="clear" w:fill="FFFFFF"/>
        </w:rPr>
        <w:t>年我</w:t>
      </w:r>
      <w:r>
        <w:rPr>
          <w:rFonts w:hint="eastAsia" w:ascii="仿宋_GB2312" w:hAnsi="仿宋_GB2312" w:eastAsia="仿宋_GB2312" w:cs="仿宋_GB2312"/>
          <w:i w:val="0"/>
          <w:caps w:val="0"/>
          <w:color w:val="000000"/>
          <w:spacing w:val="0"/>
          <w:sz w:val="32"/>
          <w:szCs w:val="32"/>
          <w:shd w:val="clear" w:fill="FFFFFF"/>
          <w:lang w:eastAsia="zh-CN"/>
        </w:rPr>
        <w:t>局</w:t>
      </w:r>
      <w:r>
        <w:rPr>
          <w:rFonts w:hint="eastAsia" w:ascii="仿宋_GB2312" w:hAnsi="仿宋_GB2312" w:eastAsia="仿宋_GB2312" w:cs="仿宋_GB2312"/>
          <w:i w:val="0"/>
          <w:caps w:val="0"/>
          <w:color w:val="000000"/>
          <w:spacing w:val="0"/>
          <w:sz w:val="32"/>
          <w:szCs w:val="32"/>
          <w:shd w:val="clear" w:fill="FFFFFF"/>
        </w:rPr>
        <w:t>将按照</w:t>
      </w:r>
      <w:r>
        <w:rPr>
          <w:rFonts w:hint="eastAsia" w:ascii="仿宋_GB2312" w:hAnsi="仿宋_GB2312" w:eastAsia="仿宋_GB2312" w:cs="仿宋_GB2312"/>
          <w:i w:val="0"/>
          <w:caps w:val="0"/>
          <w:color w:val="000000"/>
          <w:spacing w:val="0"/>
          <w:sz w:val="32"/>
          <w:szCs w:val="32"/>
          <w:shd w:val="clear" w:fill="FFFFFF"/>
          <w:lang w:eastAsia="zh-CN"/>
        </w:rPr>
        <w:t>旗委</w:t>
      </w:r>
      <w:r>
        <w:rPr>
          <w:rFonts w:hint="eastAsia" w:ascii="仿宋_GB2312" w:hAnsi="仿宋_GB2312" w:eastAsia="仿宋_GB2312" w:cs="仿宋_GB2312"/>
          <w:i w:val="0"/>
          <w:caps w:val="0"/>
          <w:color w:val="000000"/>
          <w:spacing w:val="0"/>
          <w:sz w:val="32"/>
          <w:szCs w:val="32"/>
          <w:shd w:val="clear" w:fill="FFFFFF"/>
        </w:rPr>
        <w:t>的统一要求，重点采取以下措施推进工作：一是积极以“依托电子政务平台加强政务公开和政务服务工作”建设为契机，加大政府信息公开工作力度，完善各项工作制度，促进政府信息公开工作规范有序推进。二是加强监督检查，完善检查考核机制；</w:t>
      </w:r>
      <w:r>
        <w:rPr>
          <w:rFonts w:hint="eastAsia" w:ascii="仿宋_GB2312" w:hAnsi="仿宋_GB2312" w:eastAsia="仿宋_GB2312" w:cs="仿宋_GB2312"/>
          <w:i w:val="0"/>
          <w:caps w:val="0"/>
          <w:color w:val="000000"/>
          <w:spacing w:val="0"/>
          <w:sz w:val="32"/>
          <w:szCs w:val="32"/>
          <w:shd w:val="clear" w:fill="FFFFFF"/>
          <w:lang w:eastAsia="zh-CN"/>
        </w:rPr>
        <w:t>三</w:t>
      </w:r>
      <w:r>
        <w:rPr>
          <w:rFonts w:hint="eastAsia" w:ascii="仿宋_GB2312" w:hAnsi="仿宋_GB2312" w:eastAsia="仿宋_GB2312" w:cs="仿宋_GB2312"/>
          <w:i w:val="0"/>
          <w:caps w:val="0"/>
          <w:color w:val="000000"/>
          <w:spacing w:val="0"/>
          <w:sz w:val="32"/>
          <w:szCs w:val="32"/>
          <w:shd w:val="clear" w:fill="FFFFFF"/>
        </w:rPr>
        <w:t>是扎实开展信息技术培训工作，及时查找和解决工作推进中存在的新问题，提高工作水平。</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黑体" w:hAnsi="黑体" w:eastAsia="黑体" w:cs="黑体"/>
          <w:b w:val="0"/>
          <w:bCs w:val="0"/>
          <w:i w:val="0"/>
          <w:iCs w:val="0"/>
          <w:caps w:val="0"/>
          <w:color w:val="333333"/>
          <w:spacing w:val="0"/>
          <w:sz w:val="32"/>
          <w:szCs w:val="32"/>
          <w:shd w:val="clear" w:fill="FFFFFF"/>
          <w:lang w:val="en-US" w:eastAsia="zh-CN"/>
        </w:rPr>
      </w:pPr>
      <w:r>
        <w:rPr>
          <w:rFonts w:hint="eastAsia" w:ascii="黑体" w:hAnsi="黑体" w:eastAsia="黑体" w:cs="黑体"/>
          <w:b w:val="0"/>
          <w:bCs w:val="0"/>
          <w:i w:val="0"/>
          <w:iCs w:val="0"/>
          <w:caps w:val="0"/>
          <w:color w:val="333333"/>
          <w:spacing w:val="0"/>
          <w:sz w:val="32"/>
          <w:szCs w:val="32"/>
          <w:shd w:val="clear" w:fill="FFFFFF"/>
          <w:lang w:val="en-US" w:eastAsia="zh-CN"/>
        </w:rPr>
        <w:t>其他需要报告的事项</w:t>
      </w:r>
    </w:p>
    <w:p>
      <w:pPr>
        <w:pStyle w:val="2"/>
        <w:keepNext w:val="0"/>
        <w:keepLines w:val="0"/>
        <w:widowControl/>
        <w:suppressLineNumbers w:val="0"/>
        <w:shd w:val="clear" w:fill="FFFFFF"/>
        <w:spacing w:before="0" w:beforeAutospacing="0" w:after="0" w:afterAutospacing="0" w:line="15" w:lineRule="atLeast"/>
        <w:ind w:left="0" w:firstLine="640" w:firstLineChars="200"/>
        <w:rPr>
          <w:rFonts w:hint="eastAsia" w:ascii="仿宋_GB2312" w:hAnsi="仿宋_GB2312" w:eastAsia="仿宋_GB2312" w:cs="仿宋_GB2312"/>
          <w:i w:val="0"/>
          <w:caps w:val="0"/>
          <w:color w:val="000000"/>
          <w:spacing w:val="0"/>
          <w:sz w:val="32"/>
          <w:szCs w:val="32"/>
          <w:shd w:val="clear" w:fill="FFFFFF"/>
          <w:lang w:val="en-US" w:eastAsia="zh-CN"/>
        </w:rPr>
      </w:pPr>
      <w:r>
        <w:rPr>
          <w:rFonts w:hint="eastAsia" w:ascii="仿宋_GB2312" w:hAnsi="仿宋_GB2312" w:eastAsia="仿宋_GB2312" w:cs="仿宋_GB2312"/>
          <w:i w:val="0"/>
          <w:caps w:val="0"/>
          <w:color w:val="000000"/>
          <w:spacing w:val="0"/>
          <w:sz w:val="32"/>
          <w:szCs w:val="32"/>
          <w:shd w:val="clear" w:fill="FFFFFF"/>
          <w:lang w:val="en-US" w:eastAsia="zh-CN"/>
        </w:rPr>
        <w:t>无其他收取信息处理费等。</w:t>
      </w:r>
    </w:p>
    <w:p>
      <w:pPr>
        <w:pStyle w:val="2"/>
        <w:keepNext w:val="0"/>
        <w:keepLines w:val="0"/>
        <w:widowControl/>
        <w:suppressLineNumbers w:val="0"/>
        <w:shd w:val="clear" w:fill="FFFFFF"/>
        <w:spacing w:before="0" w:beforeAutospacing="0" w:after="0" w:afterAutospacing="0" w:line="15" w:lineRule="atLeast"/>
        <w:ind w:left="0" w:firstLine="960" w:firstLineChars="300"/>
        <w:rPr>
          <w:rFonts w:hint="eastAsia" w:ascii="仿宋_GB2312" w:hAnsi="仿宋_GB2312" w:eastAsia="仿宋_GB2312" w:cs="仿宋_GB2312"/>
          <w:i w:val="0"/>
          <w:caps w:val="0"/>
          <w:color w:val="000000"/>
          <w:spacing w:val="0"/>
          <w:sz w:val="32"/>
          <w:szCs w:val="32"/>
          <w:shd w:val="clear" w:fill="FFFFFF"/>
          <w:lang w:val="en-US" w:eastAsia="zh-CN"/>
        </w:rPr>
      </w:pPr>
    </w:p>
    <w:p>
      <w:pPr>
        <w:pStyle w:val="2"/>
        <w:keepNext w:val="0"/>
        <w:keepLines w:val="0"/>
        <w:widowControl/>
        <w:suppressLineNumbers w:val="0"/>
        <w:shd w:val="clear" w:fill="FFFFFF"/>
        <w:spacing w:before="0" w:beforeAutospacing="0" w:after="0" w:afterAutospacing="0" w:line="15" w:lineRule="atLeast"/>
        <w:ind w:left="0" w:firstLine="960" w:firstLineChars="300"/>
        <w:rPr>
          <w:rFonts w:hint="eastAsia" w:ascii="仿宋_GB2312" w:hAnsi="仿宋_GB2312" w:eastAsia="仿宋_GB2312" w:cs="仿宋_GB2312"/>
          <w:i w:val="0"/>
          <w:caps w:val="0"/>
          <w:color w:val="000000"/>
          <w:spacing w:val="0"/>
          <w:sz w:val="32"/>
          <w:szCs w:val="32"/>
          <w:shd w:val="clear" w:fill="FFFFFF"/>
          <w:lang w:val="en-US" w:eastAsia="zh-CN"/>
        </w:rPr>
      </w:pPr>
    </w:p>
    <w:p>
      <w:pPr>
        <w:pStyle w:val="2"/>
        <w:keepNext w:val="0"/>
        <w:keepLines w:val="0"/>
        <w:widowControl/>
        <w:suppressLineNumbers w:val="0"/>
        <w:shd w:val="clear" w:fill="FFFFFF"/>
        <w:spacing w:before="0" w:beforeAutospacing="0" w:after="0" w:afterAutospacing="0" w:line="15" w:lineRule="atLeast"/>
        <w:ind w:left="0" w:firstLine="960" w:firstLineChars="300"/>
        <w:rPr>
          <w:rFonts w:hint="eastAsia" w:ascii="仿宋_GB2312" w:hAnsi="仿宋_GB2312" w:eastAsia="仿宋_GB2312" w:cs="仿宋_GB2312"/>
          <w:i w:val="0"/>
          <w:caps w:val="0"/>
          <w:color w:val="000000"/>
          <w:spacing w:val="0"/>
          <w:sz w:val="32"/>
          <w:szCs w:val="32"/>
          <w:shd w:val="clear" w:fill="FFFFFF"/>
          <w:lang w:val="en-US" w:eastAsia="zh-CN"/>
        </w:rPr>
      </w:pPr>
    </w:p>
    <w:p>
      <w:pPr>
        <w:pStyle w:val="2"/>
        <w:keepNext w:val="0"/>
        <w:keepLines w:val="0"/>
        <w:widowControl/>
        <w:suppressLineNumbers w:val="0"/>
        <w:shd w:val="clear" w:fill="FFFFFF"/>
        <w:spacing w:before="0" w:beforeAutospacing="0" w:after="0" w:afterAutospacing="0" w:line="15" w:lineRule="atLeast"/>
        <w:ind w:firstLine="4480" w:firstLineChars="1400"/>
        <w:rPr>
          <w:rFonts w:hint="eastAsia" w:ascii="仿宋_GB2312" w:hAnsi="仿宋_GB2312" w:eastAsia="仿宋_GB2312" w:cs="仿宋_GB2312"/>
          <w:i w:val="0"/>
          <w:caps w:val="0"/>
          <w:color w:val="000000"/>
          <w:spacing w:val="0"/>
          <w:sz w:val="32"/>
          <w:szCs w:val="32"/>
          <w:shd w:val="clear" w:fill="FFFFFF"/>
          <w:lang w:val="en-US" w:eastAsia="zh-CN"/>
        </w:rPr>
      </w:pPr>
      <w:r>
        <w:rPr>
          <w:rFonts w:hint="eastAsia" w:ascii="仿宋_GB2312" w:hAnsi="仿宋_GB2312" w:eastAsia="仿宋_GB2312" w:cs="仿宋_GB2312"/>
          <w:i w:val="0"/>
          <w:caps w:val="0"/>
          <w:color w:val="000000"/>
          <w:spacing w:val="0"/>
          <w:sz w:val="32"/>
          <w:szCs w:val="32"/>
          <w:shd w:val="clear" w:fill="FFFFFF"/>
          <w:lang w:val="en-US" w:eastAsia="zh-CN"/>
        </w:rPr>
        <w:t>乌拉特中旗应急管理局</w:t>
      </w:r>
    </w:p>
    <w:p>
      <w:pPr>
        <w:pStyle w:val="2"/>
        <w:keepNext w:val="0"/>
        <w:keepLines w:val="0"/>
        <w:widowControl/>
        <w:suppressLineNumbers w:val="0"/>
        <w:shd w:val="clear" w:fill="FFFFFF"/>
        <w:spacing w:before="0" w:beforeAutospacing="0" w:after="0" w:afterAutospacing="0" w:line="15" w:lineRule="atLeast"/>
        <w:ind w:firstLine="4800" w:firstLineChars="1500"/>
        <w:rPr>
          <w:rFonts w:hint="default" w:ascii="仿宋_GB2312" w:hAnsi="仿宋_GB2312" w:eastAsia="仿宋_GB2312" w:cs="仿宋_GB2312"/>
          <w:i w:val="0"/>
          <w:caps w:val="0"/>
          <w:color w:val="000000"/>
          <w:spacing w:val="0"/>
          <w:sz w:val="32"/>
          <w:szCs w:val="32"/>
          <w:shd w:val="clear" w:fill="FFFFFF"/>
          <w:lang w:val="en-US" w:eastAsia="zh-CN"/>
        </w:rPr>
      </w:pPr>
      <w:r>
        <w:rPr>
          <w:rFonts w:hint="eastAsia" w:ascii="仿宋_GB2312" w:hAnsi="仿宋_GB2312" w:eastAsia="仿宋_GB2312" w:cs="仿宋_GB2312"/>
          <w:i w:val="0"/>
          <w:caps w:val="0"/>
          <w:color w:val="000000"/>
          <w:spacing w:val="0"/>
          <w:sz w:val="32"/>
          <w:szCs w:val="32"/>
          <w:shd w:val="clear" w:fill="FFFFFF"/>
          <w:lang w:val="en-US" w:eastAsia="zh-CN"/>
        </w:rPr>
        <w:t>2022年1月12日</w:t>
      </w:r>
    </w:p>
    <w:p>
      <w:pPr>
        <w:pStyle w:val="2"/>
        <w:keepNext w:val="0"/>
        <w:keepLines w:val="0"/>
        <w:widowControl/>
        <w:suppressLineNumbers w:val="0"/>
        <w:shd w:val="clear" w:fill="FFFFFF"/>
        <w:spacing w:before="0" w:beforeAutospacing="0" w:after="0" w:afterAutospacing="0" w:line="15" w:lineRule="atLeast"/>
        <w:ind w:left="0" w:firstLine="640" w:firstLineChars="200"/>
        <w:rPr>
          <w:rFonts w:hint="eastAsia" w:ascii="仿宋_GB2312" w:hAnsi="仿宋_GB2312" w:eastAsia="仿宋_GB2312" w:cs="仿宋_GB2312"/>
          <w:i w:val="0"/>
          <w:caps w:val="0"/>
          <w:color w:val="000000"/>
          <w:spacing w:val="0"/>
          <w:sz w:val="32"/>
          <w:szCs w:val="32"/>
          <w:shd w:val="clear" w:fill="FFFFFF"/>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E4530C"/>
    <w:multiLevelType w:val="singleLevel"/>
    <w:tmpl w:val="AAE4530C"/>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D6F"/>
    <w:rsid w:val="003E3D6F"/>
    <w:rsid w:val="24B33E88"/>
    <w:rsid w:val="3EBA6F59"/>
    <w:rsid w:val="489A7C25"/>
    <w:rsid w:val="4F1643B1"/>
    <w:rsid w:val="4FFC5E7B"/>
    <w:rsid w:val="52471E71"/>
    <w:rsid w:val="55C43B1B"/>
    <w:rsid w:val="7D921E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2022-01-05T07:15:00Z</dcterms:created>
  <dc:creator>Аичир</dc:creator>
  <cp:lastModifiedBy>Administrator</cp:lastModifiedBy>
  <dcterms:modified xsi:type="dcterms:W3CDTF">2022-01-12T08:28:37Z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7733CB2FFCA44F5F820F9421946A1941</vt:lpwstr>
  </property>
</Properties>
</file>