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tabs>
          <w:tab w:val="left" w:pos="720"/>
        </w:tabs>
        <w:spacing w:line="397" w:lineRule="atLeast"/>
        <w:jc w:val="center"/>
        <w:rPr>
          <w:rFonts w:ascii="黑体" w:eastAsia="黑体"/>
          <w:sz w:val="44"/>
          <w:szCs w:val="44"/>
        </w:rPr>
      </w:pPr>
      <w:bookmarkStart w:id="1" w:name="_GoBack"/>
      <w:bookmarkEnd w:id="1"/>
    </w:p>
    <w:p>
      <w:pPr>
        <w:pStyle w:val="6"/>
        <w:spacing w:line="397" w:lineRule="atLeast"/>
        <w:jc w:val="center"/>
        <w:rPr>
          <w:rFonts w:ascii="黑体" w:eastAsia="黑体"/>
          <w:sz w:val="44"/>
          <w:szCs w:val="44"/>
        </w:rPr>
      </w:pPr>
    </w:p>
    <w:p>
      <w:pPr>
        <w:pStyle w:val="6"/>
        <w:spacing w:line="397" w:lineRule="atLeast"/>
        <w:jc w:val="center"/>
        <w:rPr>
          <w:rFonts w:ascii="黑体" w:eastAsia="黑体"/>
          <w:sz w:val="36"/>
          <w:szCs w:val="36"/>
        </w:rPr>
      </w:pPr>
    </w:p>
    <w:p>
      <w:pPr>
        <w:pStyle w:val="6"/>
        <w:spacing w:line="397" w:lineRule="atLeast"/>
        <w:jc w:val="both"/>
        <w:rPr>
          <w:rFonts w:ascii="仿宋_GB2312" w:eastAsia="仿宋_GB2312"/>
          <w:sz w:val="36"/>
          <w:szCs w:val="36"/>
        </w:rPr>
      </w:pPr>
    </w:p>
    <w:p>
      <w:pPr>
        <w:pStyle w:val="6"/>
        <w:spacing w:line="397" w:lineRule="atLeast"/>
        <w:jc w:val="both"/>
        <w:rPr>
          <w:rFonts w:ascii="仿宋_GB2312" w:eastAsia="仿宋_GB2312"/>
          <w:sz w:val="24"/>
          <w:szCs w:val="24"/>
        </w:rPr>
      </w:pPr>
    </w:p>
    <w:p>
      <w:pPr>
        <w:pStyle w:val="6"/>
        <w:spacing w:line="397" w:lineRule="atLeast"/>
        <w:jc w:val="both"/>
        <w:rPr>
          <w:rFonts w:ascii="仿宋" w:hAnsi="仿宋" w:eastAsia="仿宋"/>
          <w:sz w:val="24"/>
          <w:szCs w:val="24"/>
        </w:rPr>
      </w:pPr>
    </w:p>
    <w:p>
      <w:pPr>
        <w:pStyle w:val="6"/>
        <w:spacing w:line="397" w:lineRule="atLeas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乌白镇政发〔202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186</w:t>
      </w:r>
      <w:r>
        <w:rPr>
          <w:rFonts w:hint="eastAsia" w:ascii="仿宋" w:hAnsi="仿宋" w:eastAsia="仿宋"/>
          <w:sz w:val="32"/>
          <w:szCs w:val="32"/>
        </w:rPr>
        <w:t xml:space="preserve">号     </w:t>
      </w:r>
    </w:p>
    <w:p>
      <w:pPr>
        <w:pStyle w:val="6"/>
        <w:spacing w:line="480" w:lineRule="atLeast"/>
        <w:jc w:val="center"/>
        <w:rPr>
          <w:rFonts w:ascii="黑体" w:eastAsia="黑体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Arial" w:eastAsia="黑体" w:cs="Arial"/>
          <w:bCs/>
          <w:color w:val="000000"/>
          <w:kern w:val="0"/>
          <w:sz w:val="44"/>
          <w:szCs w:val="44"/>
          <w:lang w:val="en-US" w:eastAsia="zh-CN"/>
        </w:rPr>
      </w:pPr>
      <w:bookmarkStart w:id="0" w:name="OLE_LINK1"/>
      <w:r>
        <w:rPr>
          <w:rFonts w:hint="eastAsia" w:ascii="黑体" w:hAnsi="Arial" w:eastAsia="黑体" w:cs="Arial"/>
          <w:bCs/>
          <w:color w:val="000000"/>
          <w:kern w:val="0"/>
          <w:sz w:val="44"/>
          <w:szCs w:val="44"/>
          <w:lang w:val="en-US" w:eastAsia="zh-CN"/>
        </w:rPr>
        <w:t>白</w:t>
      </w:r>
      <w:bookmarkEnd w:id="0"/>
      <w:r>
        <w:rPr>
          <w:rFonts w:hint="eastAsia" w:ascii="黑体" w:hAnsi="Arial" w:eastAsia="黑体" w:cs="Arial"/>
          <w:bCs/>
          <w:color w:val="000000"/>
          <w:kern w:val="0"/>
          <w:sz w:val="44"/>
          <w:szCs w:val="44"/>
          <w:lang w:val="en-US" w:eastAsia="zh-CN"/>
        </w:rPr>
        <w:t>彦花镇人民政府2021年事业单位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Arial" w:eastAsia="黑体" w:cs="Arial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Arial" w:eastAsia="黑体" w:cs="Arial"/>
          <w:bCs/>
          <w:color w:val="000000"/>
          <w:kern w:val="0"/>
          <w:sz w:val="44"/>
          <w:szCs w:val="44"/>
          <w:lang w:val="en-US" w:eastAsia="zh-CN"/>
        </w:rPr>
        <w:t>年度考核奖分配实施方案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转变机关作风、加强行政效能建设和建设规范化服务型机关的要求，科学地评价机关工作人员管理和服务的效果，不断提高管理和服务的水平，推动以人为本的激励和约束机制的建立，减少行政成本，提高工作效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二、审批范围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1.2021年年度考核确定为合格以上等次的事业单位正式工作人员（不含参照公务员法管理的事业单位工作人员，下同）。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2.2021年见习期人员及当年退休人员和在职死亡人员（不包括当年被处分及长期请假人员）。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三、年度考核奖标准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根据《乌拉特前旗党委 政府关于2021年度全旗科级领导班子和领导干部年度考核结果的通报》（乌党字（2022）7号），确定2021年度考核奖标准，具体如下：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1.白彦花镇人民政府事业单位考核奖年平均：3084元／年／人；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2.2021年见习期人员及当年退休人员和在职死亡人员的考核奖标准同上，以实际工作的月数发放。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3.我镇将根据2021年年度考核结果将事业人员分为两类发放考核奖金。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四、分配基本原则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1、坚持公开、公平、公正原则；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2、坚持统一管理，分类考核原则；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3、坚持科学合理，适当拉差原则；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4、坚持多劳多得，优绩优酬原则；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5、坚持向关键岗位、高层次人才、业务骨干和做出突出贡献的人员重点倾斜原则。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五、工作承诺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将严格按照《乌拉特前旗事业单位绩效实施方案》的发放原则及发放办法制定本单位的年度考核奖分配方案，并报人社部门备案。在核定的年度考核奖总量内，坚持奖勤罚懒、奖优罚劣的原则，注重程序规范有序、过程透明公开、结果客观公正，根据考核结果一次性发放，在发放时不搞平均分配，不与职务职级挂钩，最高与最低档次标准控制在1.3倍以内。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乌拉特前旗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白彦花</w:t>
      </w:r>
      <w:r>
        <w:rPr>
          <w:rFonts w:hint="eastAsia" w:ascii="仿宋_GB2312" w:hAnsi="仿宋_GB2312" w:eastAsia="仿宋_GB2312" w:cs="仿宋_GB2312"/>
          <w:sz w:val="32"/>
          <w:szCs w:val="32"/>
        </w:rPr>
        <w:t>镇人民政府</w:t>
      </w: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5ZmY2YmI1NjI0NTdjZDM3MzhjMDM2OGI0ZmJhYmIifQ=="/>
  </w:docVars>
  <w:rsids>
    <w:rsidRoot w:val="776C542E"/>
    <w:rsid w:val="00385F92"/>
    <w:rsid w:val="0086168A"/>
    <w:rsid w:val="00FE665E"/>
    <w:rsid w:val="0F957714"/>
    <w:rsid w:val="26D42D6F"/>
    <w:rsid w:val="340C47C3"/>
    <w:rsid w:val="36E12454"/>
    <w:rsid w:val="3E80148B"/>
    <w:rsid w:val="4242307D"/>
    <w:rsid w:val="425F0018"/>
    <w:rsid w:val="42807DCA"/>
    <w:rsid w:val="537B7FF9"/>
    <w:rsid w:val="554761E9"/>
    <w:rsid w:val="572B6A2A"/>
    <w:rsid w:val="58EC4BB3"/>
    <w:rsid w:val="776C542E"/>
    <w:rsid w:val="7D8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character" w:customStyle="1" w:styleId="7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701</Words>
  <Characters>747</Characters>
  <Lines>1</Lines>
  <Paragraphs>1</Paragraphs>
  <TotalTime>2</TotalTime>
  <ScaleCrop>false</ScaleCrop>
  <LinksUpToDate>false</LinksUpToDate>
  <CharactersWithSpaces>780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2022-05-12T03:16:00Z</dcterms:created>
  <dc:creator>曼陀罗花</dc:creator>
  <cp:lastModifiedBy>°带颜色的张大豆、 </cp:lastModifiedBy>
  <cp:lastPrinted>2022-06-20T16:32:00Z</cp:lastPrinted>
  <dcterms:modified xsi:type="dcterms:W3CDTF">2022-09-27T09:54:14Z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7E103F1DCB434BBBB9BEA0E54B97F7C7</vt:lpwstr>
  </property>
</Properties>
</file>