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乌拉特中旗人力资源和社会保障局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年领导班子工作总结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center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center"/>
        <w:textAlignment w:val="auto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按照实绩考核要求，现就我局领导班子202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202</w:t>
      </w:r>
      <w:r>
        <w:rPr>
          <w:rFonts w:hint="eastAsia" w:ascii="仿宋_GB2312" w:hAnsi="仿宋" w:eastAsia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年，局领导班子团结带领干部职工，以习近平新时代中国特色社会主义思想为指导，全面贯彻落实党的十九大和十九届二中、三中、四中、五中</w:t>
      </w:r>
      <w:r>
        <w:rPr>
          <w:rFonts w:hint="eastAsia" w:ascii="仿宋_GB2312" w:hAnsi="仿宋" w:eastAsia="仿宋_GB2312"/>
          <w:bCs/>
          <w:color w:val="000000"/>
          <w:sz w:val="32"/>
          <w:szCs w:val="32"/>
          <w:lang w:eastAsia="zh-CN"/>
        </w:rPr>
        <w:t>、六中</w:t>
      </w:r>
      <w:r>
        <w:rPr>
          <w:rFonts w:hint="eastAsia" w:ascii="仿宋_GB2312" w:hAnsi="仿宋" w:eastAsia="仿宋_GB2312"/>
          <w:bCs/>
          <w:color w:val="000000"/>
          <w:sz w:val="32"/>
          <w:szCs w:val="32"/>
        </w:rPr>
        <w:t>全会精神，认真落实旗委、政府的决策部署，以党建为引领，依法履职，坚持稳中求进工作总基调，迎难而上、勇于创新，推动人力资源社会保障事业取得新发展。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黑体" w:hAnsi="华文中宋" w:eastAsia="黑体"/>
          <w:sz w:val="32"/>
          <w:szCs w:val="32"/>
        </w:rPr>
      </w:pPr>
      <w:r>
        <w:rPr>
          <w:rFonts w:hint="eastAsia" w:ascii="黑体" w:hAnsi="仿宋" w:eastAsia="黑体"/>
          <w:bCs/>
          <w:color w:val="000000"/>
          <w:sz w:val="32"/>
          <w:szCs w:val="32"/>
        </w:rPr>
        <w:t>一、</w:t>
      </w:r>
      <w:r>
        <w:rPr>
          <w:rFonts w:hint="eastAsia" w:ascii="黑体" w:hAnsi="华文中宋" w:eastAsia="黑体"/>
          <w:sz w:val="32"/>
          <w:szCs w:val="32"/>
        </w:rPr>
        <w:t>党建工作持续加强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（一）严格落实党建责任制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把党的政治建设摆在首位，落实党建工作主体责任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落实“第一责任人”职责，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将党建与业务工作同</w:t>
      </w:r>
      <w:r>
        <w:rPr>
          <w:rFonts w:hint="eastAsia" w:ascii="仿宋_GB2312" w:hAnsi="仿宋_GB2312" w:eastAsia="仿宋_GB2312" w:cs="仿宋_GB2312"/>
          <w:sz w:val="32"/>
          <w:szCs w:val="32"/>
        </w:rPr>
        <w:t>部署、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</w:rPr>
        <w:t>谋划，班子成员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“一岗双责”，引导党员干部进一步提高政治能力，强化政治担当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（二）狠抓党风廉政建设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落实党风廉政建设主体责任制，坚决贯彻旗纪委监委党风廉政建设的部署和要求，明确责任分工，结合人社工作特点，分析廉政风险防控点，加强警示教育。严格执行重大事项请示报告制度。督促引导广大党员干部严格按照制度履职尽责。在元旦、春节、“五一”、国庆来临之际，加大廉洁风险提醒教育，筑牢党员干部拒腐防变思想防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（三）抓好学习教育，提高党员干部的政治素质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以深入学习贯彻习近平新时代中国特色社会主义思想为主线，结合党史学习教育，筑牢党员干部思想根基，引导党员干部将理论与业务实际相结合，落实到自身工作实际。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截止目前，共集中学习20次，党史夜校读书班三期、实地参观内蒙古展览馆、乌兰夫纪念馆、围绕“党史学习教育”主题开展5次专题研讨，开展党建理论测试3次，开展党建网络测试3次，观看红色影片2次。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（四）严格落实意识形态工作责任制，做好“六有”工作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将意识形态工作纳入党员考评机制引导党员干部明辨是非、澄清模糊认识。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今年，我局开展意识形态宣传教育，意识形态知识测试3次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，引领党员自觉规范言行，坚决拥护党中央权威，反对和抵制各种错误思潮和负面言论。加强日常监管力度，主动管好守住网站、微信平台等网络意识形态阵地。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（五）对党员实行规范化管理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发展标准、工作流程，加大入党积极分子、发展对象教育培训力度。根据自身业务制定适合局支部的分类量化考评制度，增强考评成效。认真落实“三会一课”、主题党日、双重组织生活、谈心谈话、民主评议党员等制度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截至目前，开展支委会10次，党员大会7次，讲党课2次，主题党日10次，谈心谈话1次，民主评议党员1次，慰问老党员2次，帮助贫困居民1次。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(六)扎实开展铸牢中华民族共同体意识专题教育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深入学习贯彻习近平总书记关于民族工作的重要论述，在全体干部中建立起汉族和少数民族谁也离不开谁的思想意识。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深入学习内蒙古党史，了解内蒙古各项工作的发展离不开全国人民的支持，同时了解内蒙古人民在国家最困难的时候，三千孤儿入内蒙，支援国家的重大创举，从而清醒地认识到铸牢中华民族共同体意识的重要意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支部组织举办本单位中华民族礼仪、民族服饰讲座，加深大家对中华民族优秀文化传统的了解。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组织全体干部主动支助一些少数民族困难家庭的子女,让他们圆上大学梦，用真实情感促进民族团结。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积极开展民族团结一家亲，活力人社暖人心。联合社区汇丰一区八十岁以上老人召开座谈会，拉家常，帮助老人排忧解难，以赠送纪念品等方式结亲戚，勤走访、常团聚，互学语言、关爱帮扶。同时进社区开展民族歌曲大合唱，表达少数民族对中国共产党的深厚感情等，多层次多形式交往互动，相互了解、相互尊重，促进各民族之间的交往、交流、交融，铸牢中华民族共同体意识。</w:t>
      </w:r>
    </w:p>
    <w:p>
      <w:pPr>
        <w:pStyle w:val="2"/>
        <w:jc w:val="both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（七）在疫情防控、创城等重点工作中，积极开展“我为群众办实事”活动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进一步强化履职担当作为，结合“我为群众办实事”实践活动安排，引导党员干部践行初心使命。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密切联系群众，深入开展调研。通过在单位、包联社区设立意见箱等方式，广泛征求意见建议，了解民生需求。在“铸牢中华民族共同体意识我能做什么”主题党日活动中，每名党员干部都认领了一件民生实事，并签订一句话承诺清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常态化推进在职党员进社区“双报到”、党员干部志愿服务活动。持续做好新冠肺炎疫情防控相关工作，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充分发挥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人社创业就业及养老保险政策宣传，消除小区居民的疑虑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开展党员承诺践诺，增强党员意识、彰显先进性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业务岗相应设置党员先锋岗，签订承诺践诺清单，带头发挥党员先锋模范作用，增强党员意识，自觉担当作为。以主题党日、联合党建“1+N”、“三会一课”、“组织生活”、“群团共建”、“普法宣传”、“技能培训”等为载体，创新开展“双融和双提升活动”。拓展网上经办业务，为群众提供社会保障、人事人才、劳动保障、降费减负、技能提升等网上办事便捷服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二、就业创业平稳运行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楷体" w:eastAsia="仿宋_GB2312"/>
          <w:bCs/>
          <w:i w:val="0"/>
          <w:iCs w:val="0"/>
          <w:sz w:val="32"/>
          <w:szCs w:val="32"/>
        </w:rPr>
      </w:pPr>
      <w:r>
        <w:rPr>
          <w:rFonts w:hint="eastAsia" w:ascii="仿宋_GB2312" w:hAnsi="楷体" w:eastAsia="仿宋_GB2312"/>
          <w:bCs/>
          <w:i w:val="0"/>
          <w:iCs w:val="0"/>
          <w:sz w:val="32"/>
          <w:szCs w:val="32"/>
        </w:rPr>
        <w:t>运用各种载体，就业创业政策宣传到位。注重实用实效，技能培训水平明显提升。突出示范引领，创业带动就业氛围浓厚。紧盯重点关键，就业援助服务及时到位。开展援企稳岗，失业保险作用充分发挥。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截至目前，我旗实现城镇新增就业720人，完成目标任务700人的103%；城镇登记失业率为4.06%，农牧民转移就业12108人，完成目标任务8400人的144%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</w:rPr>
        <w:t>三、养老、工伤、失业保险保障有力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深入实施全民参保计划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坚持待遇及时足额发放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企业退休人员基本养老金实现“17连涨”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开展隐患排查和警示教育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不断丰富创新稽核手段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对违规领取待遇人员进行追缴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项社保工作按计划开展。加强社会保险宣传，开展多种方式认证，加强基金监督工作，全旗参加各类社会保险的人员74.8748万人次，累计收入各类社保基金90561.24万元，累计支付各类基金73630.99万元，基金累计结余10437.44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加强人力资源建设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1.加强专业技术人才培养。</w:t>
      </w:r>
      <w:r>
        <w:rPr>
          <w:rFonts w:hint="eastAsia" w:ascii="仿宋_GB2312" w:eastAsia="仿宋_GB2312"/>
          <w:sz w:val="32"/>
          <w:szCs w:val="32"/>
        </w:rPr>
        <w:t>开展初级、中级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高级</w:t>
      </w:r>
      <w:r>
        <w:rPr>
          <w:rFonts w:hint="eastAsia" w:ascii="仿宋_GB2312" w:eastAsia="仿宋_GB2312"/>
          <w:sz w:val="32"/>
          <w:szCs w:val="32"/>
        </w:rPr>
        <w:t>职称评审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推荐21人参加初级职称职称评审和认定，推荐65人参加中级职称评审，推荐41人参加高级职称评审。推动全旗事业单位岗位设置工作有序进行，</w:t>
      </w:r>
      <w:r>
        <w:rPr>
          <w:rFonts w:hint="eastAsia" w:ascii="仿宋_GB2312" w:eastAsia="仿宋_GB2312"/>
          <w:sz w:val="32"/>
          <w:szCs w:val="32"/>
        </w:rPr>
        <w:t>教育系统职称的评聘结合。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提高卫生系统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高级岗的设岗比例，由原来的9%提高到20%。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75" w:firstLineChars="21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2.加大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技能人才培训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整合完善技能人才数据库，截止目前，全旗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技能人才共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643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组织526名受培人员参加了职业资格鉴定考试，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对24期就业技能培训班进行开班备案，并对授课情况进行监督检查,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按照就业技能定点培训机构认定标准以及认定程序，确定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家培训机构为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我旗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就业技能定点培训机构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3.开展流动人才服务。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共接收高校毕业生档案2143份，编外聘用人员档案394份。出具存档证明、各类材料证明421份。做好231名本土大学生服务管理工作。按照上级政策和要求，“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三支一扶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、“社区民生”项目生71人全部派遣上岗。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4.加强政府序列科级以下事业人员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截止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11月中旬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全旗事业单位工作人员有3770人，其中管理人员979人，专业技术人员2386人，工勤技能人员405人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  <w:lang w:val="en-US" w:eastAsia="zh-CN"/>
        </w:rPr>
        <w:t>参加考核人数为3361人，优秀等次人数为485人。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通过事业单位招聘引进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和谐劳动关系创建取得好成绩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1.加大劳动保障日常监督检查力度：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开展劳动用工年检备案情况: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截止目前，全旗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备案企业425家，涉及劳动者6704人，签订劳动合同100%,年审查425家，审查率100%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2.大力开展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农牧民工工资清欠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对乌拉特中旗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家在建工程进行日常巡查。接受群众现场投诉和电话投诉举报案件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巴彦淖尔市“全国根治欠薪线索反映平台”案件线索共计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</w:t>
      </w:r>
      <w:r>
        <w:rPr>
          <w:rFonts w:hint="eastAsia" w:ascii="仿宋_GB2312" w:hAnsi="宋体" w:eastAsia="仿宋_GB2312"/>
          <w:sz w:val="32"/>
          <w:szCs w:val="32"/>
        </w:rPr>
        <w:t>清理拖欠农民工工资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1092.4092</w:t>
      </w:r>
      <w:r>
        <w:rPr>
          <w:rFonts w:hint="eastAsia" w:ascii="仿宋_GB2312" w:hAnsi="宋体" w:eastAsia="仿宋_GB2312"/>
          <w:sz w:val="32"/>
          <w:szCs w:val="32"/>
        </w:rPr>
        <w:t>万元，涉及劳动者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1046</w:t>
      </w:r>
      <w:r>
        <w:rPr>
          <w:rFonts w:hint="eastAsia" w:ascii="仿宋_GB2312" w:hAnsi="宋体" w:eastAsia="仿宋_GB2312"/>
          <w:sz w:val="32"/>
          <w:szCs w:val="32"/>
        </w:rPr>
        <w:t>人，有力保障农牧民工合法权益。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3.积极开展劳动者工伤认定：</w:t>
      </w:r>
      <w:r>
        <w:rPr>
          <w:rFonts w:hint="eastAsia" w:ascii="仿宋" w:hAnsi="仿宋" w:eastAsia="仿宋" w:cs="仿宋"/>
          <w:sz w:val="32"/>
          <w:szCs w:val="32"/>
        </w:rPr>
        <w:t>受理工伤案件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135</w:t>
      </w:r>
      <w:r>
        <w:rPr>
          <w:rFonts w:hint="eastAsia" w:ascii="仿宋" w:hAnsi="仿宋" w:eastAsia="仿宋" w:cs="仿宋"/>
          <w:sz w:val="32"/>
          <w:szCs w:val="32"/>
        </w:rPr>
        <w:t>起，申报因工劳动能力鉴定66人，非因工劳动能力鉴定8人。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4.加大劳动争议调解仲裁工作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共收到仲裁申请229起，受理仲裁案件217起，不予受理12起，结案212起（其中：调解结案127起，裁决结案74起，撤回仲裁申请11起），未结案5起。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10"/>
        <w:jc w:val="left"/>
        <w:textAlignment w:val="auto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六、</w:t>
      </w:r>
      <w:r>
        <w:rPr>
          <w:rFonts w:hint="eastAsia" w:ascii="黑体" w:hAnsi="仿宋_GB2312" w:eastAsia="黑体" w:cs="仿宋_GB2312"/>
          <w:sz w:val="32"/>
          <w:szCs w:val="32"/>
          <w:lang w:eastAsia="zh-CN"/>
        </w:rPr>
        <w:t>积极优化营商环境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开展政策法规宣传，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建设法治人社。</w:t>
      </w:r>
      <w:r>
        <w:rPr>
          <w:rFonts w:hint="eastAsia" w:ascii="仿宋_GB2312" w:hAnsi="Times New Roman" w:eastAsia="仿宋_GB2312"/>
          <w:sz w:val="32"/>
          <w:szCs w:val="32"/>
        </w:rPr>
        <w:t>深入到各厂矿、建筑工地发放宣传资料1万余份、</w:t>
      </w:r>
      <w:r>
        <w:rPr>
          <w:rFonts w:hint="eastAsia" w:ascii="仿宋_GB2312" w:hAnsi="仿宋_GB2312" w:eastAsia="仿宋_GB2312" w:cs="仿宋_GB2312"/>
          <w:sz w:val="32"/>
          <w:szCs w:val="32"/>
        </w:rPr>
        <w:t>劳动合同1.2万余份。完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成法宣在线和公务员在线学习考试，通过率为100%。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树立依法行政理念，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完善权责清单，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认真办理行政复议案件，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加快法治人社建设步伐。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依法调处信访矛盾，维护社会稳定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积极协调上级部门，努力化解历史遗留的信访问题，引导信访人合理合法反映问题，目前下岗职工信访群体的问题正在积极化解中。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三是加强便民服务，落实各项惠民政策。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积极推进综合柜员制建设，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月初，启用综合柜员平台，实现就业创业、社会保险、人事人才、劳动关系和社会保障卡等142项服务事项无差别受理和办理。实施“援企稳岗”“以工代训”补贴政策，为企业减负稳岗。落实养老保险、工伤保险减免政策，帮助企业共度难关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七、积极主动作为、助力乡村振兴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按照旗委政府的要求，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积极参与制定《乌拉特中旗推动乡村人才振兴实施方案》。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与旗委组织部等部门一起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积极开展全旗人才队伍调研工作，形成《关于乌拉特中旗人才现状分析研判报告》。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及时引进乡村振兴急需紧缺的各类人才。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加强基层重点人才队伍建设。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加强医疗卫生人才培养。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提高基层卫生院工作人员待遇，基层卫生院按实有人数进行岗位设置。在岗位聘用时根据所取得职称等级聘用，不受单位岗位结构比例限制，在所取得职称等级范围内每两年晋升一个岗位等级。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加强基层教师队伍培养。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积极协调解决部分教师未列编制问题，再没有解决编制前保证教师的职称评审、岗位聘用等相关待遇不受影响。扩大中小学、幼儿园专业技术高级岗的设岗比例。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存在的问题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（一）设立劳动监察机构。我局有劳动监察职能，但是没有劳动监察执法机构。建议上级有关部门明确劳动监察机构和人员编制，赋予行政执法权力。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（二）本级就业补助资金配套短缺。目前，我旗使用的就业资金全部为上级专项资金，本级财政对再就业的资金匹配非常有限。按照要求，旗政府每年需匹配就业资金300万元。财政预算只有20万元，配套资金短缺，致使公益性岗位、创业就业示范工作受限，不能发挥最大效应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（三）综合柜员工作人员配备。我局正式上线了综合柜员，服务效率和质量进一步提高，目前处于综合柜员初步运行阶段，按照要求，需配备受理岗、中转岗、和经办岗，专人专岗，实际运行都是一人多岗，急需配备综合柜员专职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总体上看，202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年，我局领导班子团结一致、辛勤努力、勇于担当，完成了年初确定的目标任务，取得了明显成效。但与上级要求和人民群众希望还有一定差距，202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年，我们将着力加强党的建设，充分发挥好班子的领导核心作用，集思广益解决人力资源和社会保障事业发展过程中显现的各类问题，为我旗经济社会各项事业发展做出更大的贡献。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以上是我局领导班子一年来工作情况汇报，不妥之处，诚请批评指正。</w:t>
      </w:r>
    </w:p>
    <w:p/>
    <w:sectPr>
      <w:pgSz w:w="11906" w:h="16838"/>
      <w:pgMar w:top="1587" w:right="1588" w:bottom="1587" w:left="1588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NmMzNjJmMTMxN2MwZDA2NGU5MTkyYzA4ZDZhM2IifQ=="/>
  </w:docVars>
  <w:rsids>
    <w:rsidRoot w:val="334536C2"/>
    <w:rsid w:val="3345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mn-Mong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line="600" w:lineRule="exact"/>
      <w:ind w:firstLine="0" w:firstLineChars="0"/>
      <w:jc w:val="center"/>
      <w:outlineLvl w:val="0"/>
    </w:pPr>
    <w:rPr>
      <w:rFonts w:ascii="等线 Light" w:hAnsi="等线 Light" w:eastAsia="方正小标宋简体"/>
      <w:bCs/>
      <w:sz w:val="44"/>
      <w:szCs w:val="32"/>
      <w:lang w:bidi="ar-SA"/>
    </w:rPr>
  </w:style>
  <w:style w:type="paragraph" w:styleId="3">
    <w:name w:val="Body Text Indent"/>
    <w:basedOn w:val="1"/>
    <w:unhideWhenUsed/>
    <w:qFormat/>
    <w:uiPriority w:val="0"/>
    <w:pPr>
      <w:spacing w:line="240" w:lineRule="auto"/>
      <w:ind w:left="420" w:leftChars="200" w:firstLine="0" w:firstLineChars="0"/>
    </w:pPr>
    <w:rPr>
      <w:rFonts w:cs="Mongolian Baiti"/>
      <w:szCs w:val="24"/>
      <w:lang w:bidi="ar-SA"/>
    </w:rPr>
  </w:style>
  <w:style w:type="paragraph" w:customStyle="1" w:styleId="6">
    <w:name w:val="正文1"/>
    <w:qFormat/>
    <w:uiPriority w:val="0"/>
    <w:pPr>
      <w:widowControl w:val="0"/>
      <w:suppressAutoHyphens w:val="0"/>
      <w:bidi w:val="0"/>
      <w:spacing w:before="0" w:after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2022-11-08T02:12:00Z</dcterms:created>
  <dc:creator>NTKO</dc:creator>
  <cp:lastModifiedBy>NTKO</cp:lastModifiedBy>
  <dcterms:modified xsi:type="dcterms:W3CDTF">2022-11-08T02:12:43Z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26A49125DEF64DB1976AAFCAA2303B43</vt:lpwstr>
  </property>
</Properties>
</file>