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both"/>
        <w:textAlignment w:val="auto"/>
        <w:rPr>
          <w:rFonts w:hint="eastAsia" w:asciiTheme="majorEastAsia" w:hAnsiTheme="majorEastAsia" w:eastAsiaTheme="majorEastAsia" w:cstheme="majorEastAsia"/>
          <w:i w:val="0"/>
          <w:caps w:val="0"/>
          <w:color w:val="000000" w:themeColor="text1"/>
          <w:spacing w:val="0"/>
          <w:kern w:val="0"/>
          <w:sz w:val="44"/>
          <w:szCs w:val="44"/>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center"/>
        <w:textAlignment w:val="auto"/>
        <w:rPr>
          <w:rFonts w:hint="eastAsia" w:asciiTheme="majorEastAsia" w:hAnsiTheme="majorEastAsia" w:eastAsiaTheme="majorEastAsia" w:cstheme="majorEastAsia"/>
          <w:i w:val="0"/>
          <w:caps w:val="0"/>
          <w:color w:val="000000" w:themeColor="text1"/>
          <w:spacing w:val="0"/>
          <w:kern w:val="0"/>
          <w:sz w:val="44"/>
          <w:szCs w:val="44"/>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center"/>
        <w:textAlignment w:val="auto"/>
        <w:rPr>
          <w:rFonts w:hint="eastAsia" w:asciiTheme="majorEastAsia" w:hAnsiTheme="majorEastAsia" w:eastAsiaTheme="majorEastAsia" w:cstheme="majorEastAsia"/>
          <w:i w:val="0"/>
          <w:caps w:val="0"/>
          <w:color w:val="000000" w:themeColor="text1"/>
          <w:spacing w:val="0"/>
          <w:kern w:val="0"/>
          <w:sz w:val="22"/>
          <w:szCs w:val="22"/>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center"/>
        <w:textAlignment w:val="auto"/>
        <w:rPr>
          <w:rFonts w:hint="eastAsia" w:asciiTheme="majorEastAsia" w:hAnsiTheme="majorEastAsia" w:eastAsiaTheme="majorEastAsia" w:cstheme="majorEastAsia"/>
          <w:i w:val="0"/>
          <w:caps w:val="0"/>
          <w:color w:val="000000" w:themeColor="text1"/>
          <w:spacing w:val="0"/>
          <w:kern w:val="0"/>
          <w:sz w:val="44"/>
          <w:szCs w:val="44"/>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both"/>
        <w:textAlignment w:val="auto"/>
        <w:rPr>
          <w:rFonts w:hint="eastAsia" w:asciiTheme="majorEastAsia" w:hAnsiTheme="majorEastAsia" w:eastAsiaTheme="majorEastAsia" w:cstheme="majorEastAsia"/>
          <w:i w:val="0"/>
          <w:caps w:val="0"/>
          <w:color w:val="000000" w:themeColor="text1"/>
          <w:spacing w:val="0"/>
          <w:kern w:val="0"/>
          <w:sz w:val="44"/>
          <w:szCs w:val="44"/>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center"/>
        <w:textAlignment w:val="auto"/>
        <w:rPr>
          <w:rFonts w:hint="eastAsia" w:asciiTheme="majorEastAsia" w:hAnsiTheme="majorEastAsia" w:eastAsiaTheme="majorEastAsia" w:cstheme="majorEastAsia"/>
          <w:i w:val="0"/>
          <w:caps w:val="0"/>
          <w:color w:val="000000" w:themeColor="text1"/>
          <w:spacing w:val="0"/>
          <w:kern w:val="0"/>
          <w:sz w:val="44"/>
          <w:szCs w:val="44"/>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center"/>
        <w:textAlignment w:val="auto"/>
        <w:rPr>
          <w:rFonts w:hint="eastAsia" w:asciiTheme="majorEastAsia" w:hAnsiTheme="majorEastAsia" w:eastAsiaTheme="majorEastAsia" w:cstheme="majorEastAsia"/>
          <w:i w:val="0"/>
          <w:caps w:val="0"/>
          <w:color w:val="000000" w:themeColor="text1"/>
          <w:spacing w:val="0"/>
          <w:kern w:val="0"/>
          <w:sz w:val="44"/>
          <w:szCs w:val="44"/>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center"/>
        <w:textAlignment w:val="auto"/>
        <w:rPr>
          <w:rFonts w:hint="eastAsia" w:asciiTheme="majorEastAsia" w:hAnsiTheme="majorEastAsia" w:eastAsiaTheme="majorEastAsia" w:cstheme="majorEastAsia"/>
          <w:i w:val="0"/>
          <w:caps w:val="0"/>
          <w:color w:val="000000" w:themeColor="text1"/>
          <w:spacing w:val="0"/>
          <w:kern w:val="0"/>
          <w:sz w:val="44"/>
          <w:szCs w:val="44"/>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bidi w:val="0"/>
        <w:adjustRightInd/>
        <w:snapToGrid/>
        <w:spacing w:line="500" w:lineRule="exact"/>
        <w:ind w:left="0" w:firstLine="0"/>
        <w:jc w:val="center"/>
        <w:textAlignment w:val="auto"/>
        <w:rPr>
          <w:rFonts w:hint="eastAsia" w:asciiTheme="majorEastAsia" w:hAnsiTheme="majorEastAsia" w:eastAsiaTheme="majorEastAsia" w:cstheme="majorEastAsia"/>
          <w:i w:val="0"/>
          <w:caps w:val="0"/>
          <w:color w:val="000000" w:themeColor="text1"/>
          <w:spacing w:val="0"/>
          <w:kern w:val="0"/>
          <w:sz w:val="16"/>
          <w:szCs w:val="16"/>
          <w:shd w:val="clear" w:fill="FFFFFF"/>
          <w:lang w:val="en-US" w:eastAsia="zh-CN" w:bidi="ar"/>
          <w14:textFill>
            <w14:solidFill>
              <w14:schemeClr w14:val="tx1"/>
            </w14:solidFill>
          </w14:textFill>
        </w:rPr>
      </w:pPr>
    </w:p>
    <w:p>
      <w:pPr>
        <w:jc w:val="both"/>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乌后</w:t>
      </w:r>
      <w:r>
        <w:rPr>
          <w:rFonts w:hint="eastAsia" w:ascii="仿宋_GB2312" w:hAnsi="仿宋_GB2312" w:eastAsia="仿宋_GB2312" w:cs="仿宋_GB2312"/>
          <w:sz w:val="32"/>
          <w:szCs w:val="32"/>
        </w:rPr>
        <w:t>医保发</w:t>
      </w:r>
      <w:r>
        <w:rPr>
          <w:rFonts w:hint="eastAsia" w:ascii="仿宋_GB2312" w:hAnsi="仿宋_GB2312" w:eastAsia="仿宋_GB2312" w:cs="仿宋_GB2312"/>
          <w:i w:val="0"/>
          <w:caps w:val="0"/>
          <w:color w:val="000000" w:themeColor="text1"/>
          <w:spacing w:val="0"/>
          <w:kern w:val="0"/>
          <w:sz w:val="32"/>
          <w:szCs w:val="32"/>
          <w:u w:val="none"/>
          <w:shd w:val="clear" w:fill="FFFFFF"/>
          <w:lang w:val="en-US" w:eastAsia="zh-CN" w:bidi="ar"/>
          <w14:textFill>
            <w14:solidFill>
              <w14:schemeClr w14:val="tx1"/>
            </w14:solidFill>
          </w14:textFill>
        </w:rPr>
        <w:t>〔2022〕</w:t>
      </w: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val="0"/>
        <w:spacing w:line="500" w:lineRule="exact"/>
        <w:ind w:left="0" w:leftChars="0" w:right="0" w:rightChars="0" w:firstLine="0" w:firstLineChars="0"/>
        <w:jc w:val="center"/>
        <w:textAlignment w:val="auto"/>
        <w:outlineLvl w:val="9"/>
        <w:rPr>
          <w:rFonts w:hint="eastAsia" w:ascii="仿宋_GB2312" w:hAnsi="仿宋_GB2312" w:eastAsia="仿宋_GB2312" w:cs="仿宋_GB2312"/>
          <w:sz w:val="2"/>
          <w:szCs w:val="2"/>
        </w:rPr>
      </w:pPr>
    </w:p>
    <w:p>
      <w:pPr>
        <w:pStyle w:val="3"/>
        <w:pageBreakBefore w:val="0"/>
        <w:widowControl/>
        <w:kinsoku/>
        <w:wordWrap/>
        <w:overflowPunct/>
        <w:topLinePunct w:val="0"/>
        <w:autoSpaceDE/>
        <w:autoSpaceDN/>
        <w:bidi w:val="0"/>
        <w:adjustRightInd/>
        <w:snapToGrid/>
        <w:spacing w:before="602" w:after="900" w:line="560" w:lineRule="exact"/>
        <w:jc w:val="center"/>
        <w:textAlignment w:val="auto"/>
        <w:rPr>
          <w:rFonts w:hint="eastAsia" w:ascii="方正小标宋简体" w:hAnsi="方正小标宋简体" w:eastAsia="方正小标宋简体" w:cs="方正小标宋简体"/>
          <w:b w:val="0"/>
          <w:bCs/>
          <w:color w:val="000000"/>
          <w:sz w:val="44"/>
          <w:szCs w:val="44"/>
          <w:shd w:val="clear" w:color="auto" w:fill="FFFFFF"/>
        </w:rPr>
      </w:pPr>
      <w:r>
        <w:rPr>
          <w:rFonts w:hint="eastAsia" w:ascii="方正小标宋简体" w:hAnsi="方正小标宋简体" w:eastAsia="方正小标宋简体" w:cs="方正小标宋简体"/>
          <w:b w:val="0"/>
          <w:bCs/>
          <w:color w:val="000000"/>
          <w:sz w:val="44"/>
          <w:szCs w:val="44"/>
          <w:shd w:val="clear" w:color="auto" w:fill="FFFFFF"/>
        </w:rPr>
        <w:t>关于</w:t>
      </w:r>
      <w:r>
        <w:rPr>
          <w:rFonts w:hint="eastAsia" w:ascii="方正小标宋简体" w:hAnsi="方正小标宋简体" w:eastAsia="方正小标宋简体" w:cs="方正小标宋简体"/>
          <w:b w:val="0"/>
          <w:bCs/>
          <w:color w:val="000000"/>
          <w:sz w:val="44"/>
          <w:szCs w:val="44"/>
          <w:shd w:val="clear" w:color="auto" w:fill="FFFFFF"/>
          <w:lang w:val="en-US" w:eastAsia="zh-CN"/>
        </w:rPr>
        <w:t>乌拉特后旗</w:t>
      </w:r>
      <w:r>
        <w:rPr>
          <w:rFonts w:hint="eastAsia" w:ascii="方正小标宋简体" w:hAnsi="方正小标宋简体" w:eastAsia="方正小标宋简体" w:cs="方正小标宋简体"/>
          <w:b w:val="0"/>
          <w:bCs/>
          <w:color w:val="000000"/>
          <w:sz w:val="44"/>
          <w:szCs w:val="44"/>
          <w:shd w:val="clear" w:color="auto" w:fill="FFFFFF"/>
          <w:lang w:eastAsia="zh-CN"/>
        </w:rPr>
        <w:t>医疗保障局进一步加强</w:t>
      </w:r>
      <w:r>
        <w:rPr>
          <w:rFonts w:hint="eastAsia" w:ascii="方正小标宋简体" w:hAnsi="方正小标宋简体" w:eastAsia="方正小标宋简体" w:cs="方正小标宋简体"/>
          <w:b w:val="0"/>
          <w:bCs/>
          <w:color w:val="000000"/>
          <w:sz w:val="44"/>
          <w:szCs w:val="44"/>
          <w:shd w:val="clear" w:color="auto" w:fill="FFFFFF"/>
        </w:rPr>
        <w:t>医疗保障基金监管工作</w:t>
      </w:r>
      <w:r>
        <w:rPr>
          <w:rFonts w:hint="eastAsia" w:ascii="方正小标宋简体" w:hAnsi="方正小标宋简体" w:eastAsia="方正小标宋简体" w:cs="方正小标宋简体"/>
          <w:b w:val="0"/>
          <w:bCs/>
          <w:sz w:val="44"/>
          <w:szCs w:val="44"/>
          <w:lang w:val="en-US" w:eastAsia="zh-CN"/>
        </w:rPr>
        <w:t>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 w:hAnsi="仿宋" w:eastAsia="仿宋" w:cs="仿宋"/>
          <w:color w:val="auto"/>
          <w:sz w:val="32"/>
          <w:szCs w:val="32"/>
          <w:lang w:val="en-US" w:eastAsia="zh-CN"/>
        </w:rPr>
        <w:t>乌拉特后旗医疗保障局</w:t>
      </w:r>
      <w:r>
        <w:rPr>
          <w:rFonts w:hint="eastAsia" w:ascii="仿宋" w:hAnsi="仿宋" w:eastAsia="仿宋" w:cs="仿宋"/>
          <w:color w:val="auto"/>
          <w:sz w:val="32"/>
          <w:szCs w:val="32"/>
        </w:rPr>
        <w:t>为进一步加强医疗保障基金</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监管，规范医疗保障运行</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秩序，严厉打击医疗保障领域欺诈骗保行为，促进医疗机构健康发展，切实维护广大人民群众</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切身利益</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紧紧围绕全局的工作，开展以打击欺诈骗保专项治理工作为重点，不断完善制度、强化管理、夯实基础、优化服务，坚持现场监督、日常巡查抽查与数据筛查工作方式相结合，现制定以下工作方案：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认真贯彻落实习近平总书记对医疗保障工作的重要指示精神。坚持以人民为中心的发展思想，把维护医保基金安全作为首要任务，以定点医疗机构、定点零售药店、参保人员、医疗从业人员、商保公司和医保经办机构作为主要检查对象，以</w:t>
      </w:r>
      <w:r>
        <w:rPr>
          <w:rFonts w:hint="eastAsia" w:ascii="仿宋_GB2312" w:hAnsi="仿宋_GB2312" w:eastAsia="仿宋_GB2312" w:cs="仿宋_GB2312"/>
          <w:sz w:val="32"/>
          <w:szCs w:val="32"/>
          <w:lang w:eastAsia="zh-CN"/>
        </w:rPr>
        <w:t>定点医药机构</w:t>
      </w:r>
      <w:r>
        <w:rPr>
          <w:rFonts w:hint="eastAsia" w:ascii="仿宋_GB2312" w:hAnsi="仿宋_GB2312" w:eastAsia="仿宋_GB2312" w:cs="仿宋_GB2312"/>
          <w:sz w:val="32"/>
          <w:szCs w:val="32"/>
        </w:rPr>
        <w:t>药品耗材、服务收费及价格等数据为主要检查内容，持之以恒强化医保基金监管，压实监管责任，堵塞制度漏洞，坚持打击欺诈骗保工作全覆盖、常态化，持续捍卫医保基金安全，不断提升人民群众获得感和幸福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二、加强组织领导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为严厉打击欺诈骗保行为，切实加强医保基金监管，维护基金安全，稳步推进全市医保基金监管工作，</w:t>
      </w:r>
      <w:r>
        <w:rPr>
          <w:rFonts w:hint="eastAsia" w:ascii="仿宋_GB2312" w:hAnsi="仿宋_GB2312" w:eastAsia="仿宋_GB2312" w:cs="仿宋_GB2312"/>
          <w:sz w:val="32"/>
          <w:szCs w:val="32"/>
          <w:lang w:val="en-US" w:eastAsia="zh-CN"/>
        </w:rPr>
        <w:t>明确基金监管职责任务，乌拉特后旗</w:t>
      </w:r>
      <w:r>
        <w:rPr>
          <w:rFonts w:hint="eastAsia" w:ascii="仿宋_GB2312" w:hAnsi="仿宋_GB2312" w:eastAsia="仿宋_GB2312" w:cs="仿宋_GB2312"/>
          <w:sz w:val="32"/>
          <w:szCs w:val="32"/>
        </w:rPr>
        <w:t>医疗保障局决定成立医疗保障基金监管</w:t>
      </w:r>
      <w:r>
        <w:rPr>
          <w:rFonts w:hint="eastAsia" w:ascii="仿宋_GB2312" w:hAnsi="仿宋_GB2312" w:eastAsia="仿宋_GB2312" w:cs="仿宋_GB2312"/>
          <w:sz w:val="32"/>
          <w:szCs w:val="32"/>
          <w:lang w:val="en-US" w:eastAsia="zh-CN"/>
        </w:rPr>
        <w:t>工作领导</w:t>
      </w:r>
      <w:r>
        <w:rPr>
          <w:rFonts w:hint="eastAsia" w:ascii="仿宋_GB2312" w:hAnsi="仿宋_GB2312" w:eastAsia="仿宋_GB2312" w:cs="仿宋_GB2312"/>
          <w:sz w:val="32"/>
          <w:szCs w:val="32"/>
        </w:rPr>
        <w:t>小组</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组  长：</w:t>
      </w:r>
      <w:r>
        <w:rPr>
          <w:rFonts w:hint="eastAsia" w:ascii="仿宋_GB2312" w:hAnsi="仿宋_GB2312" w:eastAsia="仿宋_GB2312" w:cs="仿宋_GB2312"/>
          <w:sz w:val="32"/>
          <w:szCs w:val="32"/>
          <w:lang w:val="en-US" w:eastAsia="zh-CN"/>
        </w:rPr>
        <w:t>朝宝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副组长：</w:t>
      </w:r>
      <w:r>
        <w:rPr>
          <w:rFonts w:hint="eastAsia" w:ascii="仿宋_GB2312" w:hAnsi="仿宋_GB2312" w:eastAsia="仿宋_GB2312" w:cs="仿宋_GB2312"/>
          <w:sz w:val="32"/>
          <w:szCs w:val="32"/>
          <w:lang w:val="en-US" w:eastAsia="zh-CN"/>
        </w:rPr>
        <w:t>孟青梅、包瑞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成  员：</w:t>
      </w:r>
      <w:r>
        <w:rPr>
          <w:rFonts w:hint="eastAsia" w:ascii="仿宋_GB2312" w:hAnsi="仿宋_GB2312" w:eastAsia="仿宋_GB2312" w:cs="仿宋_GB2312"/>
          <w:sz w:val="32"/>
          <w:szCs w:val="32"/>
          <w:lang w:val="en-US" w:eastAsia="zh-CN"/>
        </w:rPr>
        <w:t>田慧民、敖能、王雅茹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基金监管工作领导小组，明确工作任务，落实监管责任。</w:t>
      </w:r>
      <w:r>
        <w:rPr>
          <w:rFonts w:hint="eastAsia" w:ascii="仿宋_GB2312" w:hAnsi="仿宋_GB2312" w:eastAsia="仿宋_GB2312" w:cs="仿宋_GB2312"/>
          <w:sz w:val="32"/>
          <w:szCs w:val="32"/>
        </w:rPr>
        <w:t>加强与市</w:t>
      </w:r>
      <w:r>
        <w:rPr>
          <w:rFonts w:hint="eastAsia" w:ascii="仿宋_GB2312" w:hAnsi="仿宋_GB2312" w:eastAsia="仿宋_GB2312" w:cs="仿宋_GB2312"/>
          <w:sz w:val="32"/>
          <w:szCs w:val="32"/>
          <w:lang w:val="en-US" w:eastAsia="zh-CN"/>
        </w:rPr>
        <w:t>医保局</w:t>
      </w:r>
      <w:r>
        <w:rPr>
          <w:rFonts w:hint="eastAsia" w:ascii="仿宋_GB2312" w:hAnsi="仿宋_GB2312" w:eastAsia="仿宋_GB2312" w:cs="仿宋_GB2312"/>
          <w:sz w:val="32"/>
          <w:szCs w:val="32"/>
        </w:rPr>
        <w:t>基金监测中心的信息</w:t>
      </w:r>
      <w:r>
        <w:rPr>
          <w:rFonts w:hint="eastAsia" w:ascii="仿宋_GB2312" w:hAnsi="仿宋_GB2312" w:eastAsia="仿宋_GB2312" w:cs="仿宋_GB2312"/>
          <w:sz w:val="32"/>
          <w:szCs w:val="32"/>
          <w:lang w:val="en-US" w:eastAsia="zh-CN"/>
        </w:rPr>
        <w:t>与业务</w:t>
      </w:r>
      <w:r>
        <w:rPr>
          <w:rFonts w:hint="eastAsia" w:ascii="仿宋_GB2312" w:hAnsi="仿宋_GB2312" w:eastAsia="仿宋_GB2312" w:cs="仿宋_GB2312"/>
          <w:sz w:val="32"/>
          <w:szCs w:val="32"/>
        </w:rPr>
        <w:t>对接，及时完成下发的</w:t>
      </w:r>
      <w:r>
        <w:rPr>
          <w:rFonts w:hint="eastAsia" w:ascii="仿宋_GB2312" w:hAnsi="仿宋_GB2312" w:eastAsia="仿宋_GB2312" w:cs="仿宋_GB2312"/>
          <w:sz w:val="32"/>
          <w:szCs w:val="32"/>
          <w:lang w:val="en-US" w:eastAsia="zh-CN"/>
        </w:rPr>
        <w:t>各项</w:t>
      </w:r>
      <w:r>
        <w:rPr>
          <w:rFonts w:hint="eastAsia" w:ascii="仿宋_GB2312" w:hAnsi="仿宋_GB2312" w:eastAsia="仿宋_GB2312" w:cs="仿宋_GB2312"/>
          <w:sz w:val="32"/>
          <w:szCs w:val="32"/>
        </w:rPr>
        <w:t>任务，加强对医疗机构的行业监管，规范医疗机构及医务人员医疗服务行为，</w:t>
      </w:r>
      <w:r>
        <w:rPr>
          <w:rFonts w:hint="eastAsia" w:ascii="仿宋_GB2312" w:hAnsi="仿宋_GB2312" w:eastAsia="仿宋_GB2312" w:cs="仿宋_GB2312"/>
          <w:sz w:val="32"/>
          <w:szCs w:val="32"/>
          <w:lang w:val="en-US" w:eastAsia="zh-CN"/>
        </w:rPr>
        <w:t>充份利用好</w:t>
      </w:r>
      <w:r>
        <w:rPr>
          <w:rFonts w:hint="eastAsia" w:ascii="仿宋_GB2312" w:hAnsi="仿宋_GB2312" w:eastAsia="仿宋_GB2312" w:cs="仿宋_GB2312"/>
          <w:sz w:val="32"/>
          <w:szCs w:val="32"/>
        </w:rPr>
        <w:t>医保基金监管智能审核系统，严防骗取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套取医疗保险基金问题的发生，对医</w:t>
      </w:r>
      <w:r>
        <w:rPr>
          <w:rFonts w:hint="eastAsia" w:ascii="仿宋_GB2312" w:hAnsi="仿宋_GB2312" w:eastAsia="仿宋_GB2312" w:cs="仿宋_GB2312"/>
          <w:sz w:val="32"/>
          <w:szCs w:val="32"/>
          <w:lang w:val="en-US" w:eastAsia="zh-CN"/>
        </w:rPr>
        <w:t>药</w:t>
      </w:r>
      <w:r>
        <w:rPr>
          <w:rFonts w:hint="eastAsia" w:ascii="仿宋_GB2312" w:hAnsi="仿宋_GB2312" w:eastAsia="仿宋_GB2312" w:cs="仿宋_GB2312"/>
          <w:sz w:val="32"/>
          <w:szCs w:val="32"/>
        </w:rPr>
        <w:t>机构的违法违规行为，依法依规严厉查处。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工作小组下设办公室，办公室设在</w:t>
      </w:r>
      <w:r>
        <w:rPr>
          <w:rFonts w:hint="eastAsia" w:ascii="仿宋_GB2312" w:hAnsi="仿宋_GB2312" w:eastAsia="仿宋_GB2312" w:cs="仿宋_GB2312"/>
          <w:sz w:val="32"/>
          <w:szCs w:val="32"/>
          <w:lang w:val="en-US" w:eastAsia="zh-CN"/>
        </w:rPr>
        <w:t>乌拉特后旗</w:t>
      </w:r>
      <w:r>
        <w:rPr>
          <w:rFonts w:hint="eastAsia" w:ascii="仿宋_GB2312" w:hAnsi="仿宋_GB2312" w:eastAsia="仿宋_GB2312" w:cs="仿宋_GB2312"/>
          <w:sz w:val="32"/>
          <w:szCs w:val="32"/>
          <w:lang w:eastAsia="zh-CN"/>
        </w:rPr>
        <w:t>医疗保障局</w:t>
      </w:r>
      <w:r>
        <w:rPr>
          <w:rFonts w:hint="eastAsia" w:ascii="仿宋_GB2312" w:hAnsi="仿宋_GB2312" w:eastAsia="仿宋_GB2312" w:cs="仿宋_GB2312"/>
          <w:sz w:val="32"/>
          <w:szCs w:val="32"/>
          <w:lang w:val="en-US" w:eastAsia="zh-CN"/>
        </w:rPr>
        <w:t>综合</w:t>
      </w:r>
      <w:r>
        <w:rPr>
          <w:rFonts w:hint="eastAsia" w:ascii="仿宋_GB2312" w:hAnsi="仿宋_GB2312" w:eastAsia="仿宋_GB2312" w:cs="仿宋_GB2312"/>
          <w:sz w:val="32"/>
          <w:szCs w:val="32"/>
          <w:lang w:eastAsia="zh-CN"/>
        </w:rPr>
        <w:t>监</w:t>
      </w:r>
      <w:r>
        <w:rPr>
          <w:rFonts w:hint="eastAsia" w:ascii="仿宋_GB2312" w:hAnsi="仿宋_GB2312" w:eastAsia="仿宋_GB2312" w:cs="仿宋_GB2312"/>
          <w:sz w:val="32"/>
          <w:szCs w:val="32"/>
          <w:lang w:val="en-US" w:eastAsia="zh-CN"/>
        </w:rPr>
        <w:t>管</w:t>
      </w:r>
      <w:r>
        <w:rPr>
          <w:rFonts w:hint="eastAsia" w:ascii="仿宋_GB2312" w:hAnsi="仿宋_GB2312" w:eastAsia="仿宋_GB2312" w:cs="仿宋_GB2312"/>
          <w:sz w:val="32"/>
          <w:szCs w:val="32"/>
          <w:lang w:eastAsia="zh-CN"/>
        </w:rPr>
        <w:t>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田慧民</w:t>
      </w:r>
      <w:r>
        <w:rPr>
          <w:rFonts w:hint="eastAsia" w:ascii="仿宋_GB2312" w:hAnsi="仿宋_GB2312" w:eastAsia="仿宋_GB2312" w:cs="仿宋_GB2312"/>
          <w:sz w:val="32"/>
          <w:szCs w:val="32"/>
        </w:rPr>
        <w:t>同志任办公室主任，负责基金监管工作的组织协调及日常工作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三、基金监管主要职责任务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（一）对辖区内各定点医药机构</w:t>
      </w:r>
      <w:r>
        <w:rPr>
          <w:rFonts w:hint="eastAsia" w:ascii="方正楷体_GBK" w:hAnsi="方正楷体_GBK" w:eastAsia="方正楷体_GBK" w:cs="方正楷体_GBK"/>
          <w:b/>
          <w:bCs/>
          <w:sz w:val="32"/>
          <w:szCs w:val="32"/>
          <w:lang w:eastAsia="zh-CN"/>
        </w:rPr>
        <w:t>、参保人员、</w:t>
      </w:r>
      <w:r>
        <w:rPr>
          <w:rFonts w:hint="eastAsia" w:ascii="方正楷体_GBK" w:hAnsi="方正楷体_GBK" w:eastAsia="方正楷体_GBK" w:cs="方正楷体_GBK"/>
          <w:b/>
          <w:bCs/>
          <w:sz w:val="32"/>
          <w:szCs w:val="32"/>
        </w:rPr>
        <w:t>医保经办机构及商保公司开展监督检查。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定点医</w:t>
      </w:r>
      <w:r>
        <w:rPr>
          <w:rFonts w:hint="eastAsia" w:ascii="仿宋_GB2312" w:hAnsi="仿宋_GB2312" w:eastAsia="仿宋_GB2312" w:cs="仿宋_GB2312"/>
          <w:b/>
          <w:bCs/>
          <w:sz w:val="32"/>
          <w:szCs w:val="32"/>
          <w:lang w:eastAsia="zh-CN"/>
        </w:rPr>
        <w:t>药</w:t>
      </w:r>
      <w:r>
        <w:rPr>
          <w:rFonts w:hint="eastAsia" w:ascii="仿宋_GB2312" w:hAnsi="仿宋_GB2312" w:eastAsia="仿宋_GB2312" w:cs="仿宋_GB2312"/>
          <w:b/>
          <w:bCs/>
          <w:sz w:val="32"/>
          <w:szCs w:val="32"/>
        </w:rPr>
        <w:t>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分解住院、挂床住院；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违反诊疗规范过度诊疗、过度检查、分解处方、超量开药、重复开药或者提供其他不必要的医药服务；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重复收费、超标准收费、分解项目收费；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串换药品、医用耗材、诊疗项目和服务设施；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为参保人员利用其享受医疗保障待遇的机会转卖药品，接受返还现金、实物或者获得其他非法利益提供便利；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将不属于医疗保障基金支付范围的医药费用纳入医疗保障基金结算；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造成医疗保障基金损失的其他违法行为。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8.未建立医疗保障基金使用内部管理制度，或者没有专门机构或者人员负责医疗保障基金使用管理工作；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9.未按照规定保管财务账目、会计凭证、处方、病历、治疗检查记录、费用明细、药品和医用耗材出入库记录等资料；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10.未按照规定通过医疗保障信息系统传送医疗保障基金使用有关数据；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11.未按照规定向医疗保障行政部门报告医疗保障基金使用监督管理所需信息；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12.未按照规定向社会公开医药费用、费用结构等信息；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13.除急诊、抢救等特殊情形外，未经参保人员或者其近亲属、监护人同意提供医疗保障基金支付范围以外的医药服务；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14.拒绝医疗保障等行政部门监督检查或者提供虚假情况。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15.诱导、协助他人冒名或者虚假就医、购药，提供虚假证明材料，或者串通他人虚开费用单据；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16.伪造、变造、隐匿、涂改、销毁医学文书、医学证明、会计凭证、电子信息等有关资料；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17.虚构医药服务项目；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18.其他骗取医疗保障基金支出的行为。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参保人员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1.将本人的医疗保障凭证交由他人冒名使用；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2.重复享受医疗保障待遇；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3.利用享受医疗保障待遇的机会转卖药品，接受返还现金、实物或者获得其他非法利益。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经办机构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1.未建立健全业务、财务、安全和风险管理制度；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2.未履行服务协议管理、费用监控、基金拨付、待遇审核及支付等职责；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3.未定期向社会公开医疗保障基金的收入、支出、结余等情况。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4.医疗保障经办机构通过伪造、变造、隐匿、涂改、销毁医学文书、医学证明、会计凭证、电子信息等有关资料或者虚构医药服务项目等方式，骗取医疗保障基金支出的。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商保公司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1.机构建设。成立领导小组及办公室；配备办公设施及信息网络；配备专业人员承办理赔工作；人员分工明确，职责清晰。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2.制度管理。健全和规范工作制度及岗位职责；制定内部稽核制度；建立公示制度；建立投诉举报制度。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业务开展。提供“一站式”即时结算，不得延误参保居民补偿报销；工作人员熟练掌握报销流程；提供月度理赔统计表、各类报表和年度运行情况总结；审核无责意外伤害录入、案件受理与现场勘查；查看补偿结算单与系统数据；补助到位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4.财务管理。专业台账及补偿报销凭证档案情况；票据使用规范、各项凭证齐全；商保理赔结算日期计3—5个工作日到账，无使用现金拨款现象。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eastAsia="zh-CN"/>
        </w:rPr>
        <w:t>二</w:t>
      </w:r>
      <w:r>
        <w:rPr>
          <w:rFonts w:hint="eastAsia" w:ascii="方正楷体_GBK" w:hAnsi="方正楷体_GBK" w:eastAsia="方正楷体_GBK" w:cs="方正楷体_GBK"/>
          <w:b/>
          <w:bCs/>
          <w:sz w:val="32"/>
          <w:szCs w:val="32"/>
        </w:rPr>
        <w:t>）推进智能监管工作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医保基金监管智能审核系统是依托信息化监控手段，构建事前提醒、事中预警、事后审核的全过程、一体化、多维度的监管模式。运用大数据实现动态智能监管，严格执行初审、复审</w:t>
      </w:r>
      <w:r>
        <w:rPr>
          <w:rFonts w:hint="eastAsia" w:ascii="仿宋_GB2312" w:hAnsi="仿宋_GB2312" w:eastAsia="仿宋_GB2312" w:cs="仿宋_GB2312"/>
          <w:sz w:val="32"/>
          <w:szCs w:val="32"/>
          <w:lang w:eastAsia="zh-CN"/>
        </w:rPr>
        <w:t>、合议三</w:t>
      </w:r>
      <w:r>
        <w:rPr>
          <w:rFonts w:hint="eastAsia" w:ascii="仿宋_GB2312" w:hAnsi="仿宋_GB2312" w:eastAsia="仿宋_GB2312" w:cs="仿宋_GB2312"/>
          <w:sz w:val="32"/>
          <w:szCs w:val="32"/>
        </w:rPr>
        <w:t>级审核制度，不断提高智能审核工作水平。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1.初审</w:t>
      </w:r>
      <w:r>
        <w:rPr>
          <w:rFonts w:hint="eastAsia" w:ascii="仿宋_GB2312" w:hAnsi="仿宋_GB2312" w:eastAsia="仿宋_GB2312" w:cs="仿宋_GB2312"/>
          <w:sz w:val="32"/>
          <w:szCs w:val="32"/>
        </w:rPr>
        <w:t>：依托自治区智能监管子系统，根据制定的医保智能监管规则库，利用规则引擎分析就医数据。机构初审人员在2个工作日内对上月的医保结算数据进行初审，并将初审结果发送各定点医疗机构。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2.复审</w:t>
      </w:r>
      <w:r>
        <w:rPr>
          <w:rFonts w:hint="eastAsia" w:ascii="仿宋_GB2312" w:hAnsi="仿宋_GB2312" w:eastAsia="仿宋_GB2312" w:cs="仿宋_GB2312"/>
          <w:sz w:val="32"/>
          <w:szCs w:val="32"/>
        </w:rPr>
        <w:t>：复审人员在7个工作日内对申诉结果进行复审确认，对定点医疗机构提交的申诉，需严格审核费用明细及申诉材料后再进行确认，并将复审结果反馈</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申诉的定点医疗机构。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val="en-US" w:eastAsia="zh-CN"/>
        </w:rPr>
        <w:t>三</w:t>
      </w:r>
      <w:r>
        <w:rPr>
          <w:rFonts w:hint="eastAsia" w:ascii="方正楷体_GBK" w:hAnsi="方正楷体_GBK" w:eastAsia="方正楷体_GBK" w:cs="方正楷体_GBK"/>
          <w:b/>
          <w:bCs/>
          <w:sz w:val="32"/>
          <w:szCs w:val="32"/>
        </w:rPr>
        <w:t>）强化基金监管宣传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要将基金监管宣传作为常态化工作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一是要突出抓好对相关法律法规和政策措施的宣传；二是要曝光典型案例；三是要规范行政执法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是要强化举报投诉处理。宣传内容要切实达到“到人、管用、有效”的方式，全面加强对《医疗保障基金使用监督管理条例》的深入解读和系统宣传，着力开展好基金监管先进经验和打击欺诈骗保典型案例征集活动，推动形成全社会共同关注、支持、参与的基金监管舆论氛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（四）规范举报线索办理和奖励机制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自治区医保局制定的举报处理和举报奖励办法，规范线索受理、转办、反馈等环节，形成闭环管理。进一步畅通举报渠道，完善举报线索办理流程，建立线索台账、认真核查、限时办结并按要求报告。进一步健全举报奖励工作机制，依法保护举报人合法权益，落实奖励措施，简化奖励程序，激发全民参与医保基金监管的积极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val="en-US" w:eastAsia="zh-CN"/>
        </w:rPr>
        <w:t>五</w:t>
      </w:r>
      <w:r>
        <w:rPr>
          <w:rFonts w:hint="eastAsia" w:ascii="方正楷体_GBK" w:hAnsi="方正楷体_GBK" w:eastAsia="方正楷体_GBK" w:cs="方正楷体_GBK"/>
          <w:b/>
          <w:bCs/>
          <w:sz w:val="32"/>
          <w:szCs w:val="32"/>
        </w:rPr>
        <w:t>）完善数据上报工作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对于所需上报的各类数据</w:t>
      </w:r>
      <w:r>
        <w:rPr>
          <w:rFonts w:hint="eastAsia" w:ascii="仿宋_GB2312" w:hAnsi="仿宋_GB2312" w:eastAsia="仿宋_GB2312" w:cs="仿宋_GB2312"/>
          <w:b w:val="0"/>
          <w:bCs w:val="0"/>
          <w:sz w:val="32"/>
          <w:szCs w:val="32"/>
          <w:lang w:eastAsia="zh-CN"/>
        </w:rPr>
        <w:t>专人落实承办</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一是</w:t>
      </w:r>
      <w:r>
        <w:rPr>
          <w:rFonts w:hint="eastAsia" w:ascii="仿宋_GB2312" w:hAnsi="仿宋_GB2312" w:eastAsia="仿宋_GB2312" w:cs="仿宋_GB2312"/>
          <w:b w:val="0"/>
          <w:bCs w:val="0"/>
          <w:sz w:val="32"/>
          <w:szCs w:val="32"/>
          <w:lang w:val="en-US" w:eastAsia="zh-CN"/>
        </w:rPr>
        <w:t>要保证</w:t>
      </w:r>
      <w:r>
        <w:rPr>
          <w:rFonts w:hint="eastAsia" w:ascii="仿宋_GB2312" w:hAnsi="仿宋_GB2312" w:eastAsia="仿宋_GB2312" w:cs="仿宋_GB2312"/>
          <w:b w:val="0"/>
          <w:bCs w:val="0"/>
          <w:sz w:val="32"/>
          <w:szCs w:val="32"/>
          <w:lang w:eastAsia="zh-CN"/>
        </w:rPr>
        <w:t>数据的时效性和真实性。二是要认真核查数据之间的逻辑关系性。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bookmarkStart w:id="0" w:name="_GoBack"/>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、工作要求</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方正楷体_GBK" w:hAnsi="方正楷体_GBK" w:eastAsia="方正楷体_GBK" w:cs="方正楷体_GBK"/>
          <w:b/>
          <w:bCs/>
          <w:sz w:val="32"/>
          <w:szCs w:val="32"/>
        </w:rPr>
        <w:t>(一)提高政治站位，强化政治担当。</w:t>
      </w:r>
      <w:r>
        <w:rPr>
          <w:rFonts w:hint="eastAsia" w:ascii="仿宋_GB2312" w:hAnsi="仿宋_GB2312" w:eastAsia="仿宋_GB2312" w:cs="仿宋_GB2312"/>
          <w:sz w:val="32"/>
          <w:szCs w:val="32"/>
        </w:rPr>
        <w:t>认真落实</w:t>
      </w:r>
      <w:r>
        <w:rPr>
          <w:rFonts w:hint="eastAsia" w:ascii="仿宋_GB2312" w:hAnsi="仿宋_GB2312" w:eastAsia="仿宋_GB2312" w:cs="仿宋_GB2312"/>
          <w:sz w:val="32"/>
          <w:szCs w:val="32"/>
          <w:lang w:eastAsia="zh-CN"/>
        </w:rPr>
        <w:t>自治区医保局</w:t>
      </w:r>
      <w:r>
        <w:rPr>
          <w:rFonts w:hint="eastAsia" w:ascii="仿宋_GB2312" w:hAnsi="仿宋_GB2312" w:eastAsia="仿宋_GB2312" w:cs="仿宋_GB2312"/>
          <w:sz w:val="32"/>
          <w:szCs w:val="32"/>
        </w:rPr>
        <w:t>关于基金监管工作的重要批示指示精神，要以更高的标准打牢基础，强化政治担当，坚决把维护基金安全作为医保系统首要工作任务抓紧抓实。</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方正楷体_GBK" w:hAnsi="方正楷体_GBK" w:eastAsia="方正楷体_GBK" w:cs="方正楷体_GBK"/>
          <w:b/>
          <w:bCs/>
          <w:sz w:val="32"/>
          <w:szCs w:val="32"/>
        </w:rPr>
        <w:t>(二)完善工作机制，强化监管合力。</w:t>
      </w:r>
      <w:r>
        <w:rPr>
          <w:rFonts w:hint="eastAsia" w:ascii="仿宋_GB2312" w:hAnsi="仿宋_GB2312" w:eastAsia="仿宋_GB2312" w:cs="仿宋_GB2312"/>
          <w:sz w:val="32"/>
          <w:szCs w:val="32"/>
        </w:rPr>
        <w:t>加强与</w:t>
      </w:r>
      <w:r>
        <w:rPr>
          <w:rFonts w:hint="eastAsia" w:ascii="仿宋_GB2312" w:hAnsi="仿宋_GB2312" w:eastAsia="仿宋_GB2312" w:cs="仿宋_GB2312"/>
          <w:sz w:val="32"/>
          <w:szCs w:val="32"/>
          <w:lang w:val="en-US" w:eastAsia="zh-CN"/>
        </w:rPr>
        <w:t>旗</w:t>
      </w:r>
      <w:r>
        <w:rPr>
          <w:rFonts w:hint="eastAsia" w:ascii="仿宋_GB2312" w:hAnsi="仿宋_GB2312" w:eastAsia="仿宋_GB2312" w:cs="仿宋_GB2312"/>
          <w:sz w:val="32"/>
          <w:szCs w:val="32"/>
        </w:rPr>
        <w:t>卫健委、</w:t>
      </w:r>
      <w:r>
        <w:rPr>
          <w:rFonts w:hint="eastAsia" w:ascii="仿宋_GB2312" w:hAnsi="仿宋_GB2312" w:eastAsia="仿宋_GB2312" w:cs="仿宋_GB2312"/>
          <w:sz w:val="32"/>
          <w:szCs w:val="32"/>
          <w:lang w:val="en-US" w:eastAsia="zh-CN"/>
        </w:rPr>
        <w:t>旗</w:t>
      </w:r>
      <w:r>
        <w:rPr>
          <w:rFonts w:hint="eastAsia" w:ascii="仿宋_GB2312" w:hAnsi="仿宋_GB2312" w:eastAsia="仿宋_GB2312" w:cs="仿宋_GB2312"/>
          <w:sz w:val="32"/>
          <w:szCs w:val="32"/>
        </w:rPr>
        <w:t>场监管局、公安机关、纪检监察机关等部门的沟通协调，形成一案多查，一案多处工作机制。要持续发力打造社会监管全链条，形成监管闭环，把监管“终端”延伸到群众中去，群策群力，织密织牢基金监管网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方正楷体_GBK" w:hAnsi="方正楷体_GBK" w:eastAsia="方正楷体_GBK" w:cs="方正楷体_GBK"/>
          <w:b/>
          <w:bCs/>
          <w:sz w:val="32"/>
          <w:szCs w:val="32"/>
        </w:rPr>
        <w:t>(三)压实工作责任，提升监管成效。</w:t>
      </w:r>
      <w:r>
        <w:rPr>
          <w:rFonts w:hint="eastAsia" w:ascii="仿宋_GB2312" w:hAnsi="仿宋_GB2312" w:eastAsia="仿宋_GB2312" w:cs="仿宋_GB2312"/>
          <w:sz w:val="32"/>
          <w:szCs w:val="32"/>
        </w:rPr>
        <w:t>严肃纪律规矩，切实压实责任、明确分工、把准重点、突破难点，持续巩固基金监管高压态势，举一反三，全面排查，积极营造不能骗、不敢骗、不想骗的基金监管氛围。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方正楷体_GBK" w:hAnsi="方正楷体_GBK" w:eastAsia="方正楷体_GBK" w:cs="方正楷体_GBK"/>
          <w:b/>
          <w:bCs/>
          <w:sz w:val="32"/>
          <w:szCs w:val="32"/>
        </w:rPr>
        <w:t>(四)及时总结报告，推动工作落实。</w:t>
      </w:r>
      <w:r>
        <w:rPr>
          <w:rFonts w:hint="eastAsia" w:ascii="仿宋_GB2312" w:hAnsi="仿宋_GB2312" w:eastAsia="仿宋_GB2312" w:cs="仿宋_GB2312"/>
          <w:sz w:val="32"/>
          <w:szCs w:val="32"/>
          <w:lang w:eastAsia="zh-CN"/>
        </w:rPr>
        <w:t>按照工作要求</w:t>
      </w:r>
      <w:r>
        <w:rPr>
          <w:rFonts w:hint="eastAsia" w:ascii="仿宋_GB2312" w:hAnsi="仿宋_GB2312" w:eastAsia="仿宋_GB2312" w:cs="仿宋_GB2312"/>
          <w:sz w:val="32"/>
          <w:szCs w:val="32"/>
        </w:rPr>
        <w:t>对监督检查内容、进展情况等，及时做好总结报告及资料图片的收集存档工作。</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Style w:val="12"/>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乌拉特后旗医疗保障局</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仿宋" w:hAnsi="仿宋" w:eastAsia="仿宋" w:cs="仿宋"/>
          <w:sz w:val="32"/>
          <w:szCs w:val="32"/>
        </w:rPr>
      </w:pPr>
      <w:r>
        <w:rPr>
          <w:rFonts w:hint="eastAsia" w:ascii="仿宋" w:hAnsi="仿宋" w:eastAsia="仿宋" w:cs="仿宋"/>
          <w:sz w:val="32"/>
          <w:szCs w:val="32"/>
        </w:rPr>
        <w:t>2022年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11</w:t>
      </w:r>
      <w:r>
        <w:rPr>
          <w:rFonts w:hint="eastAsia" w:ascii="仿宋" w:hAnsi="仿宋" w:eastAsia="仿宋" w:cs="仿宋"/>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Style w:val="12"/>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Style w:val="12"/>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Style w:val="12"/>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Style w:val="12"/>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Style w:val="12"/>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Style w:val="12"/>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Style w:val="12"/>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sz w:val="32"/>
          <w:szCs w:val="32"/>
          <w:u w:val="none"/>
          <w:shd w:val="clear" w:color="auto" w:fill="FFFFFF"/>
          <w:lang w:eastAsia="zh-CN"/>
        </w:rPr>
      </w:pPr>
      <w:r>
        <w:rPr>
          <w:rFonts w:hint="eastAsia" w:ascii="仿宋_GB2312" w:hAnsi="仿宋_GB2312" w:eastAsia="仿宋_GB2312" w:cs="仿宋_GB2312"/>
          <w:b/>
          <w:bCs/>
          <w:color w:val="000000"/>
          <w:sz w:val="32"/>
          <w:szCs w:val="32"/>
          <w:u w:val="none"/>
          <w:shd w:val="clear" w:color="auto" w:fill="FFFFFF"/>
          <w:lang w:val="en-US" w:eastAsia="zh-CN"/>
        </w:rPr>
        <w:t>乌拉特后旗</w:t>
      </w:r>
      <w:r>
        <w:rPr>
          <w:rFonts w:hint="eastAsia" w:ascii="仿宋_GB2312" w:hAnsi="仿宋_GB2312" w:eastAsia="仿宋_GB2312" w:cs="仿宋_GB2312"/>
          <w:b/>
          <w:bCs/>
          <w:color w:val="000000"/>
          <w:sz w:val="32"/>
          <w:szCs w:val="32"/>
          <w:u w:val="none"/>
          <w:shd w:val="clear" w:color="auto" w:fill="FFFFFF"/>
        </w:rPr>
        <w:t>医疗保障</w:t>
      </w:r>
      <w:r>
        <w:rPr>
          <w:rFonts w:hint="eastAsia" w:ascii="仿宋_GB2312" w:hAnsi="仿宋_GB2312" w:eastAsia="仿宋_GB2312" w:cs="仿宋_GB2312"/>
          <w:b/>
          <w:bCs/>
          <w:color w:val="000000"/>
          <w:sz w:val="32"/>
          <w:szCs w:val="32"/>
          <w:u w:val="none"/>
          <w:shd w:val="clear" w:color="auto" w:fill="FFFFFF"/>
          <w:lang w:val="en-US" w:eastAsia="zh-CN"/>
        </w:rPr>
        <w:t>局</w:t>
      </w:r>
      <w:r>
        <w:rPr>
          <w:rFonts w:hint="eastAsia" w:ascii="仿宋_GB2312" w:hAnsi="仿宋_GB2312" w:eastAsia="仿宋_GB2312" w:cs="仿宋_GB2312"/>
          <w:b/>
          <w:bCs/>
          <w:color w:val="000000"/>
          <w:sz w:val="32"/>
          <w:szCs w:val="32"/>
          <w:u w:val="none"/>
          <w:shd w:val="clear" w:color="auto" w:fill="FFFFFF"/>
        </w:rPr>
        <w:t>基金监管</w:t>
      </w:r>
      <w:r>
        <w:rPr>
          <w:rFonts w:hint="eastAsia" w:ascii="仿宋_GB2312" w:hAnsi="仿宋_GB2312" w:eastAsia="仿宋_GB2312" w:cs="仿宋_GB2312"/>
          <w:b/>
          <w:bCs/>
          <w:color w:val="000000"/>
          <w:sz w:val="32"/>
          <w:szCs w:val="32"/>
          <w:u w:val="none"/>
          <w:shd w:val="clear" w:color="auto" w:fill="FFFFFF"/>
          <w:lang w:eastAsia="zh-CN"/>
        </w:rPr>
        <w:t>领导小组名单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shd w:val="clear" w:color="auto" w:fill="FFFFFF"/>
          <w:lang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0"/>
        <w:gridCol w:w="1485"/>
        <w:gridCol w:w="1845"/>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人员类别</w:t>
            </w:r>
          </w:p>
        </w:tc>
        <w:tc>
          <w:tcPr>
            <w:tcW w:w="148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姓名</w:t>
            </w:r>
          </w:p>
        </w:tc>
        <w:tc>
          <w:tcPr>
            <w:tcW w:w="184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职务</w:t>
            </w:r>
          </w:p>
        </w:tc>
        <w:tc>
          <w:tcPr>
            <w:tcW w:w="2029"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主要领导</w:t>
            </w:r>
          </w:p>
        </w:tc>
        <w:tc>
          <w:tcPr>
            <w:tcW w:w="148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朝宝</w:t>
            </w:r>
          </w:p>
        </w:tc>
        <w:tc>
          <w:tcPr>
            <w:tcW w:w="184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局长</w:t>
            </w:r>
          </w:p>
        </w:tc>
        <w:tc>
          <w:tcPr>
            <w:tcW w:w="2029"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17604785466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分管领导</w:t>
            </w:r>
          </w:p>
        </w:tc>
        <w:tc>
          <w:tcPr>
            <w:tcW w:w="148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包瑞</w:t>
            </w:r>
          </w:p>
        </w:tc>
        <w:tc>
          <w:tcPr>
            <w:tcW w:w="184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主任科员</w:t>
            </w:r>
          </w:p>
        </w:tc>
        <w:tc>
          <w:tcPr>
            <w:tcW w:w="2029"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13015280666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lang w:eastAsia="zh-CN"/>
              </w:rPr>
              <w:t>基金监管主要负责人</w:t>
            </w:r>
          </w:p>
        </w:tc>
        <w:tc>
          <w:tcPr>
            <w:tcW w:w="148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田慧民</w:t>
            </w:r>
          </w:p>
        </w:tc>
        <w:tc>
          <w:tcPr>
            <w:tcW w:w="184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监</w:t>
            </w:r>
            <w:r>
              <w:rPr>
                <w:rFonts w:hint="eastAsia" w:ascii="仿宋_GB2312" w:hAnsi="仿宋_GB2312" w:eastAsia="仿宋_GB2312" w:cs="仿宋_GB2312"/>
                <w:sz w:val="32"/>
                <w:szCs w:val="32"/>
                <w:vertAlign w:val="baseline"/>
                <w:lang w:val="en-US" w:eastAsia="zh-CN"/>
              </w:rPr>
              <w:t>管</w:t>
            </w:r>
            <w:r>
              <w:rPr>
                <w:rFonts w:hint="eastAsia" w:ascii="仿宋_GB2312" w:hAnsi="仿宋_GB2312" w:eastAsia="仿宋_GB2312" w:cs="仿宋_GB2312"/>
                <w:sz w:val="32"/>
                <w:szCs w:val="32"/>
                <w:vertAlign w:val="baseline"/>
                <w:lang w:eastAsia="zh-CN"/>
              </w:rPr>
              <w:t>股股长</w:t>
            </w:r>
          </w:p>
        </w:tc>
        <w:tc>
          <w:tcPr>
            <w:tcW w:w="2029"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15147855556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color w:val="000000"/>
                <w:sz w:val="32"/>
                <w:szCs w:val="32"/>
                <w:shd w:val="clear" w:color="auto" w:fill="FFFFFF"/>
                <w:vertAlign w:val="baseline"/>
                <w:lang w:eastAsia="zh-CN"/>
              </w:rPr>
              <w:t>信息报送员</w:t>
            </w:r>
          </w:p>
        </w:tc>
        <w:tc>
          <w:tcPr>
            <w:tcW w:w="148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王雅茹</w:t>
            </w:r>
          </w:p>
        </w:tc>
        <w:tc>
          <w:tcPr>
            <w:tcW w:w="184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监审股科员</w:t>
            </w:r>
          </w:p>
        </w:tc>
        <w:tc>
          <w:tcPr>
            <w:tcW w:w="2029"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15149838622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color w:val="000000"/>
                <w:sz w:val="32"/>
                <w:szCs w:val="32"/>
                <w:shd w:val="clear" w:color="auto" w:fill="FFFFFF"/>
                <w:vertAlign w:val="baseline"/>
                <w:lang w:eastAsia="zh-CN"/>
              </w:rPr>
              <w:t>智能监控初审人员</w:t>
            </w:r>
          </w:p>
        </w:tc>
        <w:tc>
          <w:tcPr>
            <w:tcW w:w="148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val="en-US" w:eastAsia="zh-CN"/>
              </w:rPr>
              <w:t>敖能</w:t>
            </w:r>
          </w:p>
        </w:tc>
        <w:tc>
          <w:tcPr>
            <w:tcW w:w="1845"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vertAlign w:val="baseline"/>
                <w:lang w:eastAsia="zh-CN"/>
              </w:rPr>
              <w:t>监审股科员</w:t>
            </w:r>
          </w:p>
        </w:tc>
        <w:tc>
          <w:tcPr>
            <w:tcW w:w="2029"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13327086667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color w:val="000000"/>
                <w:sz w:val="32"/>
                <w:szCs w:val="32"/>
                <w:shd w:val="clear" w:color="auto" w:fill="FFFFFF"/>
                <w:vertAlign w:val="baseline"/>
                <w:lang w:eastAsia="zh-CN"/>
              </w:rPr>
              <w:t>智能监控初审人员</w:t>
            </w:r>
          </w:p>
        </w:tc>
        <w:tc>
          <w:tcPr>
            <w:tcW w:w="1485"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王雅茹</w:t>
            </w:r>
          </w:p>
        </w:tc>
        <w:tc>
          <w:tcPr>
            <w:tcW w:w="1845"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eastAsia="zh-CN"/>
              </w:rPr>
              <w:t>监审股科员</w:t>
            </w:r>
          </w:p>
        </w:tc>
        <w:tc>
          <w:tcPr>
            <w:tcW w:w="2029"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15149838622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0"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2"/>
                <w:sz w:val="32"/>
                <w:szCs w:val="32"/>
                <w:shd w:val="clear" w:color="auto" w:fill="FFFFFF"/>
                <w:vertAlign w:val="baseline"/>
                <w:lang w:val="en-US" w:eastAsia="zh-CN" w:bidi="ar-SA"/>
              </w:rPr>
            </w:pPr>
            <w:r>
              <w:rPr>
                <w:rFonts w:hint="eastAsia" w:ascii="仿宋_GB2312" w:hAnsi="仿宋_GB2312" w:eastAsia="仿宋_GB2312" w:cs="仿宋_GB2312"/>
                <w:color w:val="000000"/>
                <w:sz w:val="32"/>
                <w:szCs w:val="32"/>
                <w:shd w:val="clear" w:color="auto" w:fill="FFFFFF"/>
                <w:vertAlign w:val="baseline"/>
                <w:lang w:eastAsia="zh-CN"/>
              </w:rPr>
              <w:t>智能监控复审人员</w:t>
            </w:r>
          </w:p>
        </w:tc>
        <w:tc>
          <w:tcPr>
            <w:tcW w:w="1485"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田慧民</w:t>
            </w:r>
          </w:p>
        </w:tc>
        <w:tc>
          <w:tcPr>
            <w:tcW w:w="1845"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eastAsia="zh-CN"/>
              </w:rPr>
              <w:t>监审股</w:t>
            </w:r>
            <w:r>
              <w:rPr>
                <w:rFonts w:hint="eastAsia" w:ascii="仿宋_GB2312" w:hAnsi="仿宋_GB2312" w:eastAsia="仿宋_GB2312" w:cs="仿宋_GB2312"/>
                <w:sz w:val="32"/>
                <w:szCs w:val="32"/>
                <w:vertAlign w:val="baseline"/>
                <w:lang w:val="en-US" w:eastAsia="zh-CN"/>
              </w:rPr>
              <w:t>股长</w:t>
            </w:r>
          </w:p>
        </w:tc>
        <w:tc>
          <w:tcPr>
            <w:tcW w:w="2029" w:type="dxa"/>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kern w:val="2"/>
                <w:sz w:val="32"/>
                <w:szCs w:val="32"/>
                <w:vertAlign w:val="baseline"/>
                <w:lang w:val="en-US" w:eastAsia="zh-CN" w:bidi="ar-SA"/>
              </w:rPr>
            </w:pPr>
            <w:r>
              <w:rPr>
                <w:rFonts w:hint="eastAsia" w:ascii="仿宋_GB2312" w:hAnsi="仿宋_GB2312" w:eastAsia="仿宋_GB2312" w:cs="仿宋_GB2312"/>
                <w:sz w:val="32"/>
                <w:szCs w:val="32"/>
                <w:vertAlign w:val="baseline"/>
                <w:lang w:val="en-US" w:eastAsia="zh-CN"/>
              </w:rPr>
              <w:t>15147855556</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pageBreakBefore w:val="0"/>
        <w:numPr>
          <w:ilvl w:val="0"/>
          <w:numId w:val="0"/>
        </w:numPr>
        <w:kinsoku/>
        <w:wordWrap/>
        <w:overflowPunct/>
        <w:topLinePunct w:val="0"/>
        <w:autoSpaceDE/>
        <w:autoSpaceDN/>
        <w:bidi w:val="0"/>
        <w:adjustRightInd/>
        <w:snapToGrid/>
        <w:spacing w:beforeLines="0" w:afterLines="0" w:line="560" w:lineRule="exact"/>
        <w:ind w:left="641" w:firstLine="4160" w:firstLineChars="1300"/>
        <w:textAlignment w:val="auto"/>
        <w:rPr>
          <w:rFonts w:hint="eastAsia" w:ascii="仿宋" w:hAnsi="仿宋" w:eastAsia="仿宋" w:cs="仿宋"/>
          <w:sz w:val="32"/>
          <w:szCs w:val="32"/>
          <w:lang w:val="en-US" w:eastAsia="zh-CN"/>
        </w:rPr>
      </w:pPr>
    </w:p>
    <w:sectPr>
      <w:headerReference r:id="rId3" w:type="default"/>
      <w:footerReference r:id="rId4" w:type="default"/>
      <w:pgSz w:w="11906" w:h="16838"/>
      <w:pgMar w:top="1898" w:right="1474" w:bottom="1720" w:left="1587"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兰亭大黑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楷体简体">
    <w:panose1 w:val="02000000000000000000"/>
    <w:charset w:val="86"/>
    <w:family w:val="auto"/>
    <w:pitch w:val="default"/>
    <w:sig w:usb0="A00002BF" w:usb1="184F6CFA" w:usb2="00000012" w:usb3="00000000" w:csb0="00040001" w:csb1="00000000"/>
  </w:font>
  <w:font w:name="汉仪中宋简">
    <w:panose1 w:val="02010600000101010101"/>
    <w:charset w:val="86"/>
    <w:family w:val="auto"/>
    <w:pitch w:val="default"/>
    <w:sig w:usb0="00000001" w:usb1="080E0800" w:usb2="00000002" w:usb3="00000000" w:csb0="00040000" w:csb1="00000000"/>
  </w:font>
  <w:font w:name="汉仪大宋简">
    <w:panose1 w:val="02010600000101010101"/>
    <w:charset w:val="86"/>
    <w:family w:val="auto"/>
    <w:pitch w:val="default"/>
    <w:sig w:usb0="00000001" w:usb1="080E0800" w:usb2="00000002" w:usb3="00000000" w:csb0="00040000" w:csb1="00000000"/>
  </w:font>
  <w:font w:name="汉仪旗黑-35简">
    <w:panose1 w:val="00020600040101010101"/>
    <w:charset w:val="86"/>
    <w:family w:val="auto"/>
    <w:pitch w:val="default"/>
    <w:sig w:usb0="A00002BF" w:usb1="1ACF7CFA" w:usb2="00000016" w:usb3="00000000" w:csb0="00040000" w:csb1="00000000"/>
  </w:font>
  <w:font w:name="方正隶书简体">
    <w:panose1 w:val="02000000000000000000"/>
    <w:charset w:val="86"/>
    <w:family w:val="auto"/>
    <w:pitch w:val="default"/>
    <w:sig w:usb0="A00002BF" w:usb1="184F6CFA" w:usb2="00000012" w:usb3="00000000" w:csb0="00040001" w:csb1="00000000"/>
  </w:font>
  <w:font w:name="方正兰亭大黑_GBK">
    <w:panose1 w:val="02000000000000000000"/>
    <w:charset w:val="86"/>
    <w:family w:val="auto"/>
    <w:pitch w:val="default"/>
    <w:sig w:usb0="A00002BF" w:usb1="3BCF7CFA" w:usb2="00042016" w:usb3="00000010" w:csb0="00040001"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C012EA"/>
    <w:rsid w:val="04255D38"/>
    <w:rsid w:val="046A78DB"/>
    <w:rsid w:val="05B03A33"/>
    <w:rsid w:val="092145EB"/>
    <w:rsid w:val="0A1D71F4"/>
    <w:rsid w:val="0A4774AC"/>
    <w:rsid w:val="0A80491C"/>
    <w:rsid w:val="0C9100EC"/>
    <w:rsid w:val="0DB22096"/>
    <w:rsid w:val="0E5E6F81"/>
    <w:rsid w:val="0ECC102F"/>
    <w:rsid w:val="0F5646A9"/>
    <w:rsid w:val="0FE0694A"/>
    <w:rsid w:val="10025A40"/>
    <w:rsid w:val="104B20AB"/>
    <w:rsid w:val="11C74216"/>
    <w:rsid w:val="12A27495"/>
    <w:rsid w:val="152512A0"/>
    <w:rsid w:val="1551350E"/>
    <w:rsid w:val="167B73BF"/>
    <w:rsid w:val="167D24BA"/>
    <w:rsid w:val="174204EA"/>
    <w:rsid w:val="17BC2E13"/>
    <w:rsid w:val="1B8553AC"/>
    <w:rsid w:val="1C114AEB"/>
    <w:rsid w:val="1F622A84"/>
    <w:rsid w:val="20F03D69"/>
    <w:rsid w:val="214548DE"/>
    <w:rsid w:val="2240242A"/>
    <w:rsid w:val="259D186B"/>
    <w:rsid w:val="268A7BA6"/>
    <w:rsid w:val="26C012EA"/>
    <w:rsid w:val="291D6E06"/>
    <w:rsid w:val="2A7D5070"/>
    <w:rsid w:val="2AD96D79"/>
    <w:rsid w:val="2F6A11E6"/>
    <w:rsid w:val="3184505E"/>
    <w:rsid w:val="31911BBA"/>
    <w:rsid w:val="31C66103"/>
    <w:rsid w:val="33E03581"/>
    <w:rsid w:val="384A7840"/>
    <w:rsid w:val="387E6F8E"/>
    <w:rsid w:val="38EE2A5B"/>
    <w:rsid w:val="3C7A3D87"/>
    <w:rsid w:val="3EDD7FD3"/>
    <w:rsid w:val="3FD25F04"/>
    <w:rsid w:val="404C5720"/>
    <w:rsid w:val="410E7DDE"/>
    <w:rsid w:val="42184BAE"/>
    <w:rsid w:val="446C653B"/>
    <w:rsid w:val="45471147"/>
    <w:rsid w:val="463F15F2"/>
    <w:rsid w:val="46913BE3"/>
    <w:rsid w:val="46DB3549"/>
    <w:rsid w:val="49903864"/>
    <w:rsid w:val="49E55C55"/>
    <w:rsid w:val="4D206A04"/>
    <w:rsid w:val="52E8056A"/>
    <w:rsid w:val="53221E74"/>
    <w:rsid w:val="55151583"/>
    <w:rsid w:val="57F47C3F"/>
    <w:rsid w:val="58476D4B"/>
    <w:rsid w:val="5AB473E2"/>
    <w:rsid w:val="5C2D2100"/>
    <w:rsid w:val="5DDD2048"/>
    <w:rsid w:val="5DE1601D"/>
    <w:rsid w:val="5FA665EC"/>
    <w:rsid w:val="5FEE7F3A"/>
    <w:rsid w:val="61EE21FE"/>
    <w:rsid w:val="636726C7"/>
    <w:rsid w:val="638900D2"/>
    <w:rsid w:val="63FC5E1D"/>
    <w:rsid w:val="64D73BC0"/>
    <w:rsid w:val="69321964"/>
    <w:rsid w:val="723756A0"/>
    <w:rsid w:val="728D54BB"/>
    <w:rsid w:val="72ED1D94"/>
    <w:rsid w:val="75284670"/>
    <w:rsid w:val="77C153F9"/>
    <w:rsid w:val="786B5C6E"/>
    <w:rsid w:val="787D36BB"/>
    <w:rsid w:val="79B8136D"/>
    <w:rsid w:val="7A9557D8"/>
    <w:rsid w:val="7B9D2A32"/>
    <w:rsid w:val="7BEA074C"/>
    <w:rsid w:val="7C4A4D8F"/>
    <w:rsid w:val="7C85734A"/>
    <w:rsid w:val="7CA61903"/>
    <w:rsid w:val="7CDC138D"/>
    <w:rsid w:val="7CF4519C"/>
    <w:rsid w:val="7D9357DD"/>
    <w:rsid w:val="7DC314D7"/>
    <w:rsid w:val="7E3163B9"/>
    <w:rsid w:val="7F0F71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表格"/>
    <w:basedOn w:val="1"/>
    <w:qFormat/>
    <w:uiPriority w:val="0"/>
    <w:pPr>
      <w:autoSpaceDE w:val="0"/>
      <w:autoSpaceDN w:val="0"/>
      <w:jc w:val="center"/>
      <w:textAlignment w:val="baseline"/>
    </w:pPr>
    <w:rPr>
      <w:rFonts w:ascii="楷体_GB2312" w:hAnsi="楷体_GB2312" w:eastAsia="楷体_GB2312" w:cs="Times New Roman"/>
      <w:color w:val="000000"/>
      <w:kern w:val="0"/>
      <w:szCs w:val="24"/>
    </w:rPr>
  </w:style>
  <w:style w:type="paragraph" w:customStyle="1" w:styleId="14">
    <w:name w:val="p0"/>
    <w:basedOn w:val="1"/>
    <w:qFormat/>
    <w:uiPriority w:val="0"/>
    <w:pPr>
      <w:widowControl/>
      <w:spacing w:line="640" w:lineRule="atLeast"/>
      <w:ind w:firstLine="22"/>
    </w:pPr>
    <w:rPr>
      <w:color w:val="000000"/>
      <w:kern w:val="0"/>
      <w:u w:val="none" w:color="000000"/>
    </w:rPr>
  </w:style>
  <w:style w:type="paragraph" w:customStyle="1" w:styleId="15">
    <w:name w:val="p15"/>
    <w:basedOn w:val="1"/>
    <w:qFormat/>
    <w:uiPriority w:val="0"/>
    <w:pPr>
      <w:widowControl/>
      <w:spacing w:line="640" w:lineRule="atLeast"/>
      <w:ind w:firstLine="22"/>
    </w:pPr>
    <w:rPr>
      <w:rFonts w:ascii="Times New Roman" w:hAnsi="Times New Roman" w:eastAsia="宋体" w:cs="Times New Roman"/>
      <w:color w:val="000000"/>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2019-07-05T01:04:00Z</dcterms:created>
  <dc:creator>Len_user</dc:creator>
  <cp:lastModifiedBy>高宇</cp:lastModifiedBy>
  <cp:lastPrinted>2022-11-18T07:24:19Z</cp:lastPrinted>
  <dcterms:modified xsi:type="dcterms:W3CDTF">2022-11-21T01:27:40Z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