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b w:val="0"/>
          <w:bCs w:val="0"/>
          <w:i w:val="0"/>
          <w:iCs w:val="0"/>
          <w:spacing w:val="0"/>
          <w:sz w:val="44"/>
          <w:szCs w:val="44"/>
          <w:lang w:val="en-US" w:eastAsia="zh-CN"/>
        </w:rPr>
      </w:pPr>
      <w:r>
        <w:rPr>
          <w:rFonts w:hint="eastAsia" w:ascii="方正小标宋简体" w:hAnsi="方正小标宋简体" w:eastAsia="方正小标宋简体" w:cs="方正小标宋简体"/>
          <w:b w:val="0"/>
          <w:bCs w:val="0"/>
          <w:i w:val="0"/>
          <w:iCs w:val="0"/>
          <w:spacing w:val="0"/>
          <w:sz w:val="44"/>
          <w:szCs w:val="44"/>
          <w:lang w:val="en-US" w:eastAsia="zh-CN"/>
        </w:rPr>
        <w:t>五原县水利局</w:t>
      </w:r>
    </w:p>
    <w:p>
      <w:pPr>
        <w:jc w:val="center"/>
        <w:rPr>
          <w:rFonts w:hint="eastAsia" w:ascii="方正小标宋简体" w:hAnsi="方正小标宋简体" w:eastAsia="方正小标宋简体" w:cs="方正小标宋简体"/>
          <w:b w:val="0"/>
          <w:bCs w:val="0"/>
          <w:i w:val="0"/>
          <w:iCs w:val="0"/>
          <w:spacing w:val="0"/>
          <w:sz w:val="44"/>
          <w:szCs w:val="44"/>
          <w:lang w:val="en-US" w:eastAsia="zh-CN"/>
        </w:rPr>
      </w:pPr>
      <w:r>
        <w:rPr>
          <w:rFonts w:hint="eastAsia" w:ascii="方正小标宋简体" w:hAnsi="方正小标宋简体" w:eastAsia="方正小标宋简体" w:cs="方正小标宋简体"/>
          <w:b w:val="0"/>
          <w:bCs w:val="0"/>
          <w:i w:val="0"/>
          <w:iCs w:val="0"/>
          <w:spacing w:val="0"/>
          <w:sz w:val="44"/>
          <w:szCs w:val="44"/>
          <w:lang w:val="en-US" w:eastAsia="zh-CN"/>
        </w:rPr>
        <w:t>2021年政府信息公开工作年度报告</w:t>
      </w:r>
    </w:p>
    <w:p>
      <w:pPr>
        <w:jc w:val="center"/>
        <w:rPr>
          <w:rFonts w:hint="eastAsia" w:ascii="方正小标宋简体" w:hAnsi="方正小标宋简体" w:eastAsia="方正小标宋简体" w:cs="方正小标宋简体"/>
          <w:b w:val="0"/>
          <w:bCs w:val="0"/>
          <w:i w:val="0"/>
          <w:iCs w:val="0"/>
          <w:spacing w:val="0"/>
          <w:sz w:val="44"/>
          <w:szCs w:val="44"/>
          <w:lang w:val="en-US" w:eastAsia="zh-CN"/>
        </w:rPr>
      </w:pP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五原县水利局</w:t>
      </w:r>
      <w:r>
        <w:rPr>
          <w:rFonts w:hint="eastAsia" w:ascii="仿宋_GB2312" w:hAnsi="仿宋_GB2312" w:eastAsia="仿宋_GB2312" w:cs="仿宋_GB2312"/>
          <w:sz w:val="32"/>
          <w:szCs w:val="32"/>
        </w:rPr>
        <w:t>全面贯彻</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内蒙古自治区政务公开领导小组关于印发全面推进基层政务公开标准化规范化工作实施意见的通知》内政公发【2020】2号、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内蒙古自治区政务公开领导小组关于印发2021年政务公开工作要点的通知》内政公发【2021】1号、以及巴彦淖尔市政务公开领导小组</w:t>
      </w:r>
      <w:r>
        <w:rPr>
          <w:rFonts w:hint="eastAsia" w:ascii="仿宋_GB2312" w:hAnsi="仿宋_GB2312" w:eastAsia="仿宋_GB2312" w:cs="仿宋_GB2312"/>
          <w:sz w:val="32"/>
          <w:szCs w:val="32"/>
        </w:rPr>
        <w:t>有关部署</w:t>
      </w:r>
      <w:r>
        <w:rPr>
          <w:rFonts w:hint="eastAsia" w:ascii="仿宋_GB2312" w:hAnsi="仿宋_GB2312" w:eastAsia="仿宋_GB2312" w:cs="仿宋_GB2312"/>
          <w:sz w:val="32"/>
          <w:szCs w:val="32"/>
          <w:lang w:val="en-US" w:eastAsia="zh-CN"/>
        </w:rPr>
        <w:t>要求，积极开展</w:t>
      </w:r>
      <w:r>
        <w:rPr>
          <w:rFonts w:hint="eastAsia" w:ascii="仿宋_GB2312" w:hAnsi="仿宋_GB2312" w:eastAsia="仿宋_GB2312" w:cs="仿宋_GB2312"/>
          <w:sz w:val="32"/>
          <w:szCs w:val="32"/>
        </w:rPr>
        <w:t>政府信息公开工作，</w:t>
      </w:r>
      <w:r>
        <w:rPr>
          <w:rFonts w:hint="eastAsia" w:ascii="仿宋_GB2312" w:hAnsi="仿宋_GB2312" w:eastAsia="仿宋_GB2312" w:cs="仿宋_GB2312"/>
          <w:sz w:val="32"/>
          <w:szCs w:val="32"/>
          <w:lang w:val="en-US" w:eastAsia="zh-CN"/>
        </w:rPr>
        <w:t>现将2021年我局政务公开工作报告如下</w:t>
      </w:r>
      <w:r>
        <w:rPr>
          <w:rFonts w:hint="eastAsia" w:ascii="仿宋_GB2312" w:hAnsi="仿宋_GB2312" w:eastAsia="仿宋_GB2312" w:cs="仿宋_GB2312"/>
          <w:sz w:val="32"/>
          <w:szCs w:val="32"/>
        </w:rPr>
        <w:t>。</w:t>
      </w:r>
    </w:p>
    <w:p>
      <w:pPr>
        <w:rPr>
          <w:rFonts w:hint="eastAsia" w:ascii="黑体" w:hAnsi="黑体" w:eastAsia="黑体" w:cs="黑体"/>
          <w:b/>
          <w:bCs/>
          <w:sz w:val="32"/>
          <w:szCs w:val="32"/>
        </w:rPr>
      </w:pPr>
      <w:r>
        <w:rPr>
          <w:rFonts w:hint="eastAsia" w:ascii="黑体" w:hAnsi="黑体" w:eastAsia="黑体" w:cs="黑体"/>
          <w:b/>
          <w:bCs/>
          <w:sz w:val="32"/>
          <w:szCs w:val="32"/>
        </w:rPr>
        <w:t>一、总体情况</w:t>
      </w:r>
    </w:p>
    <w:p>
      <w:pPr>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（一）主动公开情况</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更新规范了五原县水利局信息公开指南，2021年底通过五原县</w:t>
      </w:r>
      <w:r>
        <w:rPr>
          <w:rFonts w:hint="eastAsia" w:ascii="仿宋_GB2312" w:hAnsi="仿宋_GB2312" w:eastAsia="仿宋_GB2312" w:cs="仿宋_GB2312"/>
          <w:sz w:val="32"/>
          <w:szCs w:val="32"/>
        </w:rPr>
        <w:t>政府门户网站</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巴彦淖尔政务公开平台发布各类</w:t>
      </w:r>
      <w:r>
        <w:rPr>
          <w:rFonts w:hint="eastAsia" w:ascii="仿宋_GB2312" w:hAnsi="仿宋_GB2312" w:eastAsia="仿宋_GB2312" w:cs="仿宋_GB2312"/>
          <w:sz w:val="32"/>
          <w:szCs w:val="32"/>
        </w:rPr>
        <w:t>政府信</w:t>
      </w:r>
      <w:r>
        <w:rPr>
          <w:rFonts w:hint="eastAsia" w:ascii="仿宋_GB2312" w:hAnsi="仿宋_GB2312" w:eastAsia="仿宋_GB2312" w:cs="仿宋_GB2312"/>
          <w:color w:val="auto"/>
          <w:sz w:val="32"/>
          <w:szCs w:val="32"/>
        </w:rPr>
        <w:t>息</w:t>
      </w:r>
      <w:r>
        <w:rPr>
          <w:rFonts w:hint="eastAsia" w:ascii="仿宋_GB2312" w:hAnsi="仿宋_GB2312" w:eastAsia="仿宋_GB2312" w:cs="仿宋_GB2312"/>
          <w:color w:val="auto"/>
          <w:sz w:val="32"/>
          <w:szCs w:val="32"/>
          <w:lang w:val="en-US" w:eastAsia="zh-CN"/>
        </w:rPr>
        <w:t>190余</w:t>
      </w:r>
      <w:r>
        <w:rPr>
          <w:rFonts w:hint="eastAsia" w:ascii="仿宋_GB2312" w:hAnsi="仿宋_GB2312" w:eastAsia="仿宋_GB2312" w:cs="仿宋_GB2312"/>
          <w:color w:val="auto"/>
          <w:sz w:val="32"/>
          <w:szCs w:val="32"/>
        </w:rPr>
        <w:t>条。</w:t>
      </w:r>
      <w:r>
        <w:rPr>
          <w:rFonts w:hint="eastAsia" w:ascii="仿宋_GB2312" w:hAnsi="仿宋_GB2312" w:eastAsia="仿宋_GB2312" w:cs="仿宋_GB2312"/>
          <w:sz w:val="32"/>
          <w:szCs w:val="32"/>
          <w:lang w:val="en-US" w:eastAsia="zh-CN"/>
        </w:rPr>
        <w:t>通过五原县水利局公众号发布信息20余条，五原县人民政府门户网站70余条，中共巴彦淖尔市委员会90余条，五原县水利局公众号20余条。</w:t>
      </w:r>
      <w:r>
        <w:rPr>
          <w:rFonts w:hint="eastAsia" w:ascii="仿宋_GB2312" w:hAnsi="仿宋_GB2312" w:eastAsia="仿宋_GB2312" w:cs="仿宋_GB2312"/>
          <w:sz w:val="32"/>
          <w:szCs w:val="32"/>
        </w:rPr>
        <w:t>落实预决算公开有关规定，及时公开</w:t>
      </w:r>
      <w:r>
        <w:rPr>
          <w:rFonts w:hint="eastAsia" w:ascii="仿宋_GB2312" w:hAnsi="仿宋_GB2312" w:eastAsia="仿宋_GB2312" w:cs="仿宋_GB2312"/>
          <w:sz w:val="32"/>
          <w:szCs w:val="32"/>
          <w:lang w:val="en-US" w:eastAsia="zh-CN"/>
        </w:rPr>
        <w:t>五原县水利局</w:t>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年度决算</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年预算。</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rPr>
        <w:t>依申请公开情况</w:t>
      </w:r>
    </w:p>
    <w:p>
      <w:pPr>
        <w:pStyle w:val="3"/>
        <w:keepNext w:val="0"/>
        <w:keepLines w:val="0"/>
        <w:widowControl/>
        <w:suppressLineNumbers w:val="0"/>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进一步规范依申请公开。</w:t>
      </w:r>
      <w:r>
        <w:rPr>
          <w:rFonts w:hint="eastAsia" w:ascii="仿宋_GB2312" w:hAnsi="仿宋_GB2312" w:eastAsia="仿宋_GB2312" w:cs="仿宋_GB2312"/>
          <w:sz w:val="32"/>
          <w:szCs w:val="32"/>
        </w:rPr>
        <w:t>从申请的登记、审核、办理、答复、归档等环节对政府信息公开申请办理工作进行规范。</w:t>
      </w:r>
      <w:r>
        <w:rPr>
          <w:rFonts w:hint="eastAsia" w:ascii="仿宋_GB2312" w:hAnsi="仿宋_GB2312" w:eastAsia="仿宋_GB2312" w:cs="仿宋_GB2312"/>
          <w:sz w:val="32"/>
          <w:szCs w:val="32"/>
          <w:lang w:val="en-US" w:eastAsia="zh-CN"/>
        </w:rPr>
        <w:t>为充分保障基层广大群众、各类社会组织机构的知情权，我局依申请公开专人负责，确保依申请公开得到及时办理，截止12月底，共有0例依申请公开给予及时答复。</w:t>
      </w:r>
    </w:p>
    <w:p>
      <w:pPr>
        <w:pStyle w:val="3"/>
        <w:keepNext w:val="0"/>
        <w:keepLines w:val="0"/>
        <w:widowControl/>
        <w:suppressLineNumbers w:val="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三</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 xml:space="preserve">基层政务公开标准化规范化建设 </w:t>
      </w:r>
    </w:p>
    <w:p>
      <w:pPr>
        <w:pStyle w:val="3"/>
        <w:keepNext w:val="0"/>
        <w:keepLines w:val="0"/>
        <w:widowControl/>
        <w:suppressLineNumbers w:val="0"/>
        <w:pBdr>
          <w:top w:val="none" w:color="auto" w:sz="0" w:space="0"/>
          <w:left w:val="none" w:color="auto" w:sz="0" w:space="0"/>
          <w:bottom w:val="none" w:color="auto" w:sz="0" w:space="0"/>
          <w:right w:val="none" w:color="auto" w:sz="0" w:space="0"/>
        </w:pBdr>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　　按照《国务院办公厅关于全面推进基层政务公开标准化规范化工作的指导意见》（国办发〔2019〕54号）、《内蒙古自治区政务公开领导小组关于印发全面推进基层政务公开标准化规范化工作实施意见的通知》（内政公发〔2020〕2号精神，成立了由</w:t>
      </w:r>
      <w:r>
        <w:rPr>
          <w:rFonts w:hint="eastAsia" w:ascii="仿宋_GB2312" w:hAnsi="仿宋_GB2312" w:eastAsia="仿宋_GB2312" w:cs="仿宋_GB2312"/>
          <w:sz w:val="32"/>
          <w:szCs w:val="32"/>
          <w:lang w:eastAsia="zh-CN"/>
        </w:rPr>
        <w:t>局长</w:t>
      </w:r>
      <w:r>
        <w:rPr>
          <w:rFonts w:hint="eastAsia" w:ascii="仿宋_GB2312" w:hAnsi="仿宋_GB2312" w:eastAsia="仿宋_GB2312" w:cs="仿宋_GB2312"/>
          <w:sz w:val="32"/>
          <w:szCs w:val="32"/>
        </w:rPr>
        <w:t>任组长的“</w:t>
      </w:r>
      <w:r>
        <w:rPr>
          <w:rFonts w:hint="eastAsia" w:ascii="仿宋_GB2312" w:hAnsi="仿宋_GB2312" w:eastAsia="仿宋_GB2312" w:cs="仿宋_GB2312"/>
          <w:sz w:val="32"/>
          <w:szCs w:val="32"/>
          <w:lang w:eastAsia="zh-CN"/>
        </w:rPr>
        <w:t>五原县水利局政务公开领导小组</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rPr>
        <w:t>）政府信息管理情况</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依托政府网站</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巴彦淖尔政务公开平台</w:t>
      </w:r>
      <w:r>
        <w:rPr>
          <w:rFonts w:hint="eastAsia" w:ascii="仿宋_GB2312" w:hAnsi="仿宋_GB2312" w:eastAsia="仿宋_GB2312" w:cs="仿宋_GB2312"/>
          <w:sz w:val="32"/>
          <w:szCs w:val="32"/>
        </w:rPr>
        <w:t>，加强</w:t>
      </w:r>
      <w:r>
        <w:rPr>
          <w:rFonts w:hint="eastAsia" w:ascii="仿宋_GB2312" w:hAnsi="仿宋_GB2312" w:eastAsia="仿宋_GB2312" w:cs="仿宋_GB2312"/>
          <w:sz w:val="32"/>
          <w:szCs w:val="32"/>
          <w:lang w:eastAsia="zh-CN"/>
        </w:rPr>
        <w:t>五原县</w:t>
      </w:r>
      <w:r>
        <w:rPr>
          <w:rFonts w:hint="eastAsia" w:ascii="仿宋_GB2312" w:hAnsi="仿宋_GB2312" w:eastAsia="仿宋_GB2312" w:cs="仿宋_GB2312"/>
          <w:sz w:val="32"/>
          <w:szCs w:val="32"/>
          <w:lang w:val="en-US" w:eastAsia="zh-CN"/>
        </w:rPr>
        <w:t>水利局</w:t>
      </w:r>
      <w:r>
        <w:rPr>
          <w:rFonts w:hint="eastAsia" w:ascii="仿宋_GB2312" w:hAnsi="仿宋_GB2312" w:eastAsia="仿宋_GB2312" w:cs="仿宋_GB2312"/>
          <w:sz w:val="32"/>
          <w:szCs w:val="32"/>
        </w:rPr>
        <w:t>政府信息的</w:t>
      </w:r>
      <w:r>
        <w:rPr>
          <w:rFonts w:hint="eastAsia" w:ascii="仿宋_GB2312" w:hAnsi="仿宋_GB2312" w:eastAsia="仿宋_GB2312" w:cs="仿宋_GB2312"/>
          <w:sz w:val="32"/>
          <w:szCs w:val="32"/>
          <w:lang w:val="en-US" w:eastAsia="zh-CN"/>
        </w:rPr>
        <w:t>收集、审核、发布工作，及时为</w:t>
      </w:r>
      <w:r>
        <w:rPr>
          <w:rFonts w:hint="eastAsia" w:ascii="仿宋_GB2312" w:hAnsi="仿宋_GB2312" w:eastAsia="仿宋_GB2312" w:cs="仿宋_GB2312"/>
          <w:sz w:val="32"/>
          <w:szCs w:val="32"/>
        </w:rPr>
        <w:t>企业群众</w:t>
      </w:r>
      <w:r>
        <w:rPr>
          <w:rFonts w:hint="eastAsia" w:ascii="仿宋_GB2312" w:hAnsi="仿宋_GB2312" w:eastAsia="仿宋_GB2312" w:cs="仿宋_GB2312"/>
          <w:sz w:val="32"/>
          <w:szCs w:val="32"/>
          <w:lang w:val="en-US" w:eastAsia="zh-CN"/>
        </w:rPr>
        <w:t>提供及时高效的</w:t>
      </w:r>
      <w:r>
        <w:rPr>
          <w:rFonts w:hint="eastAsia" w:ascii="仿宋_GB2312" w:hAnsi="仿宋_GB2312" w:eastAsia="仿宋_GB2312" w:cs="仿宋_GB2312"/>
          <w:sz w:val="32"/>
          <w:szCs w:val="32"/>
        </w:rPr>
        <w:t>政府信息，</w:t>
      </w:r>
      <w:r>
        <w:rPr>
          <w:rFonts w:hint="eastAsia" w:ascii="仿宋_GB2312" w:hAnsi="仿宋_GB2312" w:eastAsia="仿宋_GB2312" w:cs="仿宋_GB2312"/>
          <w:sz w:val="32"/>
          <w:szCs w:val="32"/>
          <w:lang w:val="en-US" w:eastAsia="zh-CN"/>
        </w:rPr>
        <w:t>进一步</w:t>
      </w:r>
      <w:r>
        <w:rPr>
          <w:rFonts w:hint="eastAsia" w:ascii="仿宋_GB2312" w:hAnsi="仿宋_GB2312" w:eastAsia="仿宋_GB2312" w:cs="仿宋_GB2312"/>
          <w:sz w:val="32"/>
          <w:szCs w:val="32"/>
        </w:rPr>
        <w:t>提升政府信息</w:t>
      </w:r>
      <w:r>
        <w:rPr>
          <w:rFonts w:hint="eastAsia" w:ascii="仿宋_GB2312" w:hAnsi="仿宋_GB2312" w:eastAsia="仿宋_GB2312" w:cs="仿宋_GB2312"/>
          <w:sz w:val="32"/>
          <w:szCs w:val="32"/>
          <w:lang w:val="en-US" w:eastAsia="zh-CN"/>
        </w:rPr>
        <w:t>公开</w:t>
      </w:r>
      <w:r>
        <w:rPr>
          <w:rFonts w:hint="eastAsia" w:ascii="仿宋_GB2312" w:hAnsi="仿宋_GB2312" w:eastAsia="仿宋_GB2312" w:cs="仿宋_GB2312"/>
          <w:sz w:val="32"/>
          <w:szCs w:val="32"/>
        </w:rPr>
        <w:t>的能力</w:t>
      </w:r>
      <w:r>
        <w:rPr>
          <w:rFonts w:hint="eastAsia" w:ascii="仿宋_GB2312" w:hAnsi="仿宋_GB2312" w:eastAsia="仿宋_GB2312" w:cs="仿宋_GB2312"/>
          <w:sz w:val="32"/>
          <w:szCs w:val="32"/>
          <w:lang w:val="en-US" w:eastAsia="zh-CN"/>
        </w:rPr>
        <w:t>和水平</w:t>
      </w:r>
      <w:r>
        <w:rPr>
          <w:rFonts w:hint="eastAsia" w:ascii="仿宋_GB2312" w:hAnsi="仿宋_GB2312" w:eastAsia="仿宋_GB2312" w:cs="仿宋_GB2312"/>
          <w:sz w:val="32"/>
          <w:szCs w:val="32"/>
        </w:rPr>
        <w:t>。</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rPr>
        <w:t>）平台建设情况</w:t>
      </w:r>
    </w:p>
    <w:p>
      <w:pPr>
        <w:ind w:firstLine="640"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rPr>
        <w:t>强化对政府网站</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巴彦淖尔市政务公开平台</w:t>
      </w:r>
      <w:r>
        <w:rPr>
          <w:rFonts w:hint="eastAsia" w:ascii="仿宋_GB2312" w:hAnsi="仿宋_GB2312" w:eastAsia="仿宋_GB2312" w:cs="仿宋_GB2312"/>
          <w:sz w:val="32"/>
          <w:szCs w:val="32"/>
        </w:rPr>
        <w:t>和政务新媒体的建设管理。严格</w:t>
      </w:r>
      <w:r>
        <w:rPr>
          <w:rFonts w:hint="eastAsia" w:ascii="仿宋_GB2312" w:hAnsi="仿宋_GB2312" w:eastAsia="仿宋_GB2312" w:cs="仿宋_GB2312"/>
          <w:sz w:val="32"/>
          <w:szCs w:val="32"/>
          <w:lang w:val="en-US" w:eastAsia="zh-CN"/>
        </w:rPr>
        <w:t>按照政府</w:t>
      </w:r>
      <w:r>
        <w:rPr>
          <w:rFonts w:hint="eastAsia" w:ascii="仿宋_GB2312" w:hAnsi="仿宋_GB2312" w:eastAsia="仿宋_GB2312" w:cs="仿宋_GB2312"/>
          <w:sz w:val="32"/>
          <w:szCs w:val="32"/>
        </w:rPr>
        <w:t>网站</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政务公开平台相关要求，指定专人认真做好网站和平台的维护运行工作，参与全县召开的2次政务公开业务培训，</w:t>
      </w:r>
      <w:r>
        <w:rPr>
          <w:rFonts w:hint="eastAsia" w:ascii="仿宋_GB2312" w:hAnsi="仿宋_GB2312" w:eastAsia="仿宋_GB2312" w:cs="仿宋_GB2312"/>
          <w:b w:val="0"/>
          <w:bCs w:val="0"/>
          <w:sz w:val="32"/>
          <w:szCs w:val="32"/>
          <w:lang w:val="en-US" w:eastAsia="zh-CN"/>
        </w:rPr>
        <w:t>针对网站、平台发布信息有关要求进行了培训，确保平台高效有序运行。</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六</w:t>
      </w:r>
      <w:r>
        <w:rPr>
          <w:rFonts w:hint="eastAsia" w:ascii="仿宋_GB2312" w:hAnsi="仿宋_GB2312" w:eastAsia="仿宋_GB2312" w:cs="仿宋_GB2312"/>
          <w:sz w:val="32"/>
          <w:szCs w:val="32"/>
        </w:rPr>
        <w:t>）监督保障情况</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五原县</w:t>
      </w:r>
      <w:r>
        <w:rPr>
          <w:rFonts w:hint="eastAsia" w:ascii="仿宋_GB2312" w:hAnsi="仿宋_GB2312" w:eastAsia="仿宋_GB2312" w:cs="仿宋_GB2312"/>
          <w:sz w:val="32"/>
          <w:szCs w:val="32"/>
          <w:lang w:eastAsia="zh-CN"/>
        </w:rPr>
        <w:t>水利局</w:t>
      </w:r>
      <w:r>
        <w:rPr>
          <w:rFonts w:hint="eastAsia" w:ascii="仿宋_GB2312" w:hAnsi="仿宋_GB2312" w:eastAsia="仿宋_GB2312" w:cs="仿宋_GB2312"/>
          <w:sz w:val="32"/>
          <w:szCs w:val="32"/>
        </w:rPr>
        <w:t>高度重视政务公开工作，认真贯彻落实党中央、国务院、自治区</w:t>
      </w:r>
      <w:r>
        <w:rPr>
          <w:rFonts w:hint="eastAsia" w:ascii="仿宋_GB2312" w:hAnsi="仿宋_GB2312" w:eastAsia="仿宋_GB2312" w:cs="仿宋_GB2312"/>
          <w:sz w:val="32"/>
          <w:szCs w:val="32"/>
          <w:lang w:eastAsia="zh-CN"/>
        </w:rPr>
        <w:t>、市和县</w:t>
      </w:r>
      <w:r>
        <w:rPr>
          <w:rFonts w:hint="eastAsia" w:ascii="仿宋_GB2312" w:hAnsi="仿宋_GB2312" w:eastAsia="仿宋_GB2312" w:cs="仿宋_GB2312"/>
          <w:sz w:val="32"/>
          <w:szCs w:val="32"/>
        </w:rPr>
        <w:t>关于政务公开的各项决策部署，成立了由</w:t>
      </w:r>
      <w:r>
        <w:rPr>
          <w:rFonts w:hint="eastAsia" w:ascii="仿宋_GB2312" w:hAnsi="仿宋_GB2312" w:eastAsia="仿宋_GB2312" w:cs="仿宋_GB2312"/>
          <w:sz w:val="32"/>
          <w:szCs w:val="32"/>
          <w:lang w:eastAsia="zh-CN"/>
        </w:rPr>
        <w:t>局长</w:t>
      </w:r>
      <w:r>
        <w:rPr>
          <w:rFonts w:hint="eastAsia" w:ascii="仿宋_GB2312" w:hAnsi="仿宋_GB2312" w:eastAsia="仿宋_GB2312" w:cs="仿宋_GB2312"/>
          <w:sz w:val="32"/>
          <w:szCs w:val="32"/>
        </w:rPr>
        <w:t>任组长，副</w:t>
      </w:r>
      <w:r>
        <w:rPr>
          <w:rFonts w:hint="eastAsia" w:ascii="仿宋_GB2312" w:hAnsi="仿宋_GB2312" w:eastAsia="仿宋_GB2312" w:cs="仿宋_GB2312"/>
          <w:sz w:val="32"/>
          <w:szCs w:val="32"/>
          <w:lang w:eastAsia="zh-CN"/>
        </w:rPr>
        <w:t>局长任</w:t>
      </w:r>
      <w:r>
        <w:rPr>
          <w:rFonts w:hint="eastAsia" w:ascii="仿宋_GB2312" w:hAnsi="仿宋_GB2312" w:eastAsia="仿宋_GB2312" w:cs="仿宋_GB2312"/>
          <w:sz w:val="32"/>
          <w:szCs w:val="32"/>
        </w:rPr>
        <w:t>副组长，</w:t>
      </w:r>
      <w:r>
        <w:rPr>
          <w:rFonts w:hint="eastAsia" w:ascii="仿宋_GB2312" w:hAnsi="仿宋_GB2312" w:eastAsia="仿宋_GB2312" w:cs="仿宋_GB2312"/>
          <w:sz w:val="32"/>
          <w:szCs w:val="32"/>
          <w:lang w:eastAsia="zh-CN"/>
        </w:rPr>
        <w:t>各股室长</w:t>
      </w:r>
      <w:r>
        <w:rPr>
          <w:rFonts w:hint="eastAsia" w:ascii="仿宋_GB2312" w:hAnsi="仿宋_GB2312" w:eastAsia="仿宋_GB2312" w:cs="仿宋_GB2312"/>
          <w:sz w:val="32"/>
          <w:szCs w:val="32"/>
        </w:rPr>
        <w:t>为成员的五原县“</w:t>
      </w:r>
      <w:r>
        <w:rPr>
          <w:rFonts w:hint="eastAsia" w:ascii="仿宋_GB2312" w:hAnsi="仿宋_GB2312" w:eastAsia="仿宋_GB2312" w:cs="仿宋_GB2312"/>
          <w:sz w:val="32"/>
          <w:szCs w:val="32"/>
          <w:lang w:eastAsia="zh-CN"/>
        </w:rPr>
        <w:t>三务</w:t>
      </w:r>
      <w:r>
        <w:rPr>
          <w:rFonts w:hint="eastAsia" w:ascii="仿宋_GB2312" w:hAnsi="仿宋_GB2312" w:eastAsia="仿宋_GB2312" w:cs="仿宋_GB2312"/>
          <w:sz w:val="32"/>
          <w:szCs w:val="32"/>
        </w:rPr>
        <w:t>公开领导小组”，建立起了“主要领导亲自抓、分管领导具体抓、</w:t>
      </w:r>
      <w:r>
        <w:rPr>
          <w:rFonts w:hint="eastAsia" w:ascii="仿宋_GB2312" w:hAnsi="仿宋_GB2312" w:eastAsia="仿宋_GB2312" w:cs="仿宋_GB2312"/>
          <w:sz w:val="32"/>
          <w:szCs w:val="32"/>
          <w:lang w:eastAsia="zh-CN"/>
        </w:rPr>
        <w:t>股室部门</w:t>
      </w:r>
      <w:r>
        <w:rPr>
          <w:rFonts w:hint="eastAsia" w:ascii="仿宋_GB2312" w:hAnsi="仿宋_GB2312" w:eastAsia="仿宋_GB2312" w:cs="仿宋_GB2312"/>
          <w:sz w:val="32"/>
          <w:szCs w:val="32"/>
        </w:rPr>
        <w:t>抓落实”的工作机制，</w:t>
      </w:r>
      <w:r>
        <w:rPr>
          <w:rFonts w:hint="eastAsia" w:ascii="仿宋_GB2312" w:hAnsi="仿宋_GB2312" w:eastAsia="仿宋_GB2312" w:cs="仿宋_GB2312"/>
          <w:sz w:val="32"/>
          <w:szCs w:val="32"/>
          <w:lang w:val="en-US" w:eastAsia="zh-CN"/>
        </w:rPr>
        <w:t>并将政务公开列入单位实绩考核，</w:t>
      </w:r>
      <w:r>
        <w:rPr>
          <w:rFonts w:hint="eastAsia" w:ascii="仿宋_GB2312" w:hAnsi="仿宋_GB2312" w:eastAsia="仿宋_GB2312" w:cs="仿宋_GB2312"/>
          <w:sz w:val="32"/>
          <w:szCs w:val="32"/>
        </w:rPr>
        <w:t>确保了政务公开工作的有序开展。</w:t>
      </w:r>
    </w:p>
    <w:p>
      <w:pPr>
        <w:numPr>
          <w:ilvl w:val="0"/>
          <w:numId w:val="1"/>
        </w:num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依法及时公开年度报告。</w:t>
      </w:r>
    </w:p>
    <w:p>
      <w:pPr>
        <w:numPr>
          <w:ilvl w:val="0"/>
          <w:numId w:val="0"/>
        </w:num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我局按照</w:t>
      </w:r>
      <w:r>
        <w:rPr>
          <w:rFonts w:hint="eastAsia" w:ascii="仿宋_GB2312" w:hAnsi="仿宋_GB2312" w:eastAsia="仿宋_GB2312" w:cs="仿宋_GB2312"/>
          <w:sz w:val="32"/>
          <w:szCs w:val="32"/>
        </w:rPr>
        <w:t>《政府信息公开条例》</w:t>
      </w:r>
      <w:r>
        <w:rPr>
          <w:rFonts w:hint="eastAsia" w:ascii="仿宋_GB2312" w:hAnsi="仿宋_GB2312" w:eastAsia="仿宋_GB2312" w:cs="仿宋_GB2312"/>
          <w:sz w:val="32"/>
          <w:szCs w:val="32"/>
          <w:lang w:val="en-US" w:eastAsia="zh-CN"/>
        </w:rPr>
        <w:t>相关</w:t>
      </w:r>
      <w:r>
        <w:rPr>
          <w:rFonts w:hint="eastAsia" w:ascii="仿宋_GB2312" w:hAnsi="仿宋_GB2312" w:eastAsia="仿宋_GB2312" w:cs="仿宋_GB2312"/>
          <w:sz w:val="32"/>
          <w:szCs w:val="32"/>
        </w:rPr>
        <w:t>要求，规范</w:t>
      </w:r>
      <w:r>
        <w:rPr>
          <w:rFonts w:hint="eastAsia" w:ascii="仿宋_GB2312" w:hAnsi="仿宋_GB2312" w:eastAsia="仿宋_GB2312" w:cs="仿宋_GB2312"/>
          <w:sz w:val="32"/>
          <w:szCs w:val="32"/>
          <w:lang w:val="en-US" w:eastAsia="zh-CN"/>
        </w:rPr>
        <w:t>政府信息公开年报</w:t>
      </w:r>
      <w:r>
        <w:rPr>
          <w:rFonts w:hint="eastAsia" w:ascii="仿宋_GB2312" w:hAnsi="仿宋_GB2312" w:eastAsia="仿宋_GB2312" w:cs="仿宋_GB2312"/>
          <w:sz w:val="32"/>
          <w:szCs w:val="32"/>
        </w:rPr>
        <w:t>内容，提高</w:t>
      </w:r>
      <w:r>
        <w:rPr>
          <w:rFonts w:hint="eastAsia" w:ascii="仿宋_GB2312" w:hAnsi="仿宋_GB2312" w:eastAsia="仿宋_GB2312" w:cs="仿宋_GB2312"/>
          <w:sz w:val="32"/>
          <w:szCs w:val="32"/>
          <w:lang w:eastAsia="zh-CN"/>
        </w:rPr>
        <w:t>我局</w:t>
      </w:r>
      <w:r>
        <w:rPr>
          <w:rFonts w:hint="eastAsia" w:ascii="仿宋_GB2312" w:hAnsi="仿宋_GB2312" w:eastAsia="仿宋_GB2312" w:cs="仿宋_GB2312"/>
          <w:sz w:val="32"/>
          <w:szCs w:val="32"/>
          <w:lang w:val="en-US" w:eastAsia="zh-CN"/>
        </w:rPr>
        <w:t>年报的发布质量</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按照统一</w:t>
      </w:r>
      <w:r>
        <w:rPr>
          <w:rFonts w:hint="eastAsia" w:ascii="仿宋_GB2312" w:hAnsi="仿宋_GB2312" w:eastAsia="仿宋_GB2312" w:cs="仿宋_GB2312"/>
          <w:sz w:val="32"/>
          <w:szCs w:val="32"/>
        </w:rPr>
        <w:t>模板格式公开年度报告。</w:t>
      </w:r>
    </w:p>
    <w:p>
      <w:pPr>
        <w:numPr>
          <w:ilvl w:val="0"/>
          <w:numId w:val="2"/>
        </w:numPr>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主动公开政府信息情况</w:t>
      </w:r>
    </w:p>
    <w:p>
      <w:pPr>
        <w:widowControl w:val="0"/>
        <w:numPr>
          <w:numId w:val="0"/>
        </w:numPr>
        <w:jc w:val="both"/>
        <w:rPr>
          <w:rFonts w:hint="eastAsia" w:ascii="仿宋_GB2312" w:hAnsi="仿宋_GB2312" w:eastAsia="仿宋_GB2312" w:cs="仿宋_GB2312"/>
          <w:b/>
          <w:bCs/>
          <w:sz w:val="32"/>
          <w:szCs w:val="32"/>
        </w:rPr>
      </w:pPr>
    </w:p>
    <w:p>
      <w:pPr>
        <w:widowControl w:val="0"/>
        <w:numPr>
          <w:numId w:val="0"/>
        </w:numPr>
        <w:jc w:val="both"/>
        <w:rPr>
          <w:rFonts w:hint="eastAsia" w:ascii="仿宋_GB2312" w:hAnsi="仿宋_GB2312" w:eastAsia="仿宋_GB2312" w:cs="仿宋_GB2312"/>
          <w:b/>
          <w:bCs/>
          <w:sz w:val="32"/>
          <w:szCs w:val="32"/>
        </w:rPr>
      </w:pPr>
    </w:p>
    <w:p>
      <w:pPr>
        <w:widowControl w:val="0"/>
        <w:numPr>
          <w:numId w:val="0"/>
        </w:numPr>
        <w:jc w:val="both"/>
        <w:rPr>
          <w:rFonts w:hint="eastAsia" w:ascii="仿宋_GB2312" w:hAnsi="仿宋_GB2312" w:eastAsia="仿宋_GB2312" w:cs="仿宋_GB2312"/>
          <w:b/>
          <w:bCs/>
          <w:sz w:val="32"/>
          <w:szCs w:val="32"/>
        </w:rPr>
      </w:pPr>
    </w:p>
    <w:p>
      <w:pPr>
        <w:widowControl w:val="0"/>
        <w:numPr>
          <w:numId w:val="0"/>
        </w:numPr>
        <w:jc w:val="both"/>
        <w:rPr>
          <w:rFonts w:hint="eastAsia" w:ascii="仿宋_GB2312" w:hAnsi="仿宋_GB2312" w:eastAsia="仿宋_GB2312" w:cs="仿宋_GB2312"/>
          <w:b/>
          <w:bCs/>
          <w:sz w:val="32"/>
          <w:szCs w:val="32"/>
        </w:rPr>
      </w:pPr>
    </w:p>
    <w:p>
      <w:pPr>
        <w:widowControl w:val="0"/>
        <w:numPr>
          <w:numId w:val="0"/>
        </w:numPr>
        <w:jc w:val="both"/>
        <w:rPr>
          <w:rFonts w:hint="eastAsia" w:ascii="仿宋_GB2312" w:hAnsi="仿宋_GB2312" w:eastAsia="仿宋_GB2312" w:cs="仿宋_GB2312"/>
          <w:b/>
          <w:bCs/>
          <w:sz w:val="32"/>
          <w:szCs w:val="32"/>
        </w:rPr>
      </w:pPr>
    </w:p>
    <w:p>
      <w:pPr>
        <w:widowControl w:val="0"/>
        <w:numPr>
          <w:numId w:val="0"/>
        </w:numPr>
        <w:jc w:val="both"/>
        <w:rPr>
          <w:rFonts w:hint="eastAsia" w:ascii="仿宋_GB2312" w:hAnsi="仿宋_GB2312" w:eastAsia="仿宋_GB2312" w:cs="仿宋_GB2312"/>
          <w:b/>
          <w:bCs/>
          <w:sz w:val="32"/>
          <w:szCs w:val="32"/>
        </w:rPr>
      </w:pPr>
    </w:p>
    <w:p>
      <w:pPr>
        <w:widowControl w:val="0"/>
        <w:numPr>
          <w:numId w:val="0"/>
        </w:numPr>
        <w:jc w:val="both"/>
        <w:rPr>
          <w:rFonts w:hint="eastAsia" w:ascii="仿宋_GB2312" w:hAnsi="仿宋_GB2312" w:eastAsia="仿宋_GB2312" w:cs="仿宋_GB2312"/>
          <w:b/>
          <w:bCs/>
          <w:sz w:val="32"/>
          <w:szCs w:val="32"/>
        </w:rPr>
      </w:pPr>
    </w:p>
    <w:p>
      <w:pPr>
        <w:widowControl w:val="0"/>
        <w:numPr>
          <w:numId w:val="0"/>
        </w:numPr>
        <w:jc w:val="both"/>
        <w:rPr>
          <w:rFonts w:hint="eastAsia" w:ascii="仿宋_GB2312" w:hAnsi="仿宋_GB2312" w:eastAsia="仿宋_GB2312" w:cs="仿宋_GB2312"/>
          <w:b/>
          <w:bCs/>
          <w:sz w:val="32"/>
          <w:szCs w:val="32"/>
        </w:rPr>
      </w:pPr>
    </w:p>
    <w:p>
      <w:pPr>
        <w:widowControl w:val="0"/>
        <w:numPr>
          <w:numId w:val="0"/>
        </w:numPr>
        <w:jc w:val="both"/>
        <w:rPr>
          <w:rFonts w:hint="eastAsia" w:ascii="仿宋_GB2312" w:hAnsi="仿宋_GB2312" w:eastAsia="仿宋_GB2312" w:cs="仿宋_GB2312"/>
          <w:b/>
          <w:bCs/>
          <w:sz w:val="32"/>
          <w:szCs w:val="32"/>
        </w:rPr>
      </w:pPr>
    </w:p>
    <w:tbl>
      <w:tblPr>
        <w:tblStyle w:val="4"/>
        <w:tblW w:w="9090" w:type="dxa"/>
        <w:jc w:val="center"/>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3920"/>
        <w:gridCol w:w="1728"/>
        <w:gridCol w:w="1080"/>
        <w:gridCol w:w="2362"/>
      </w:tblGrid>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271" w:hRule="atLeast"/>
          <w:jc w:val="center"/>
        </w:trPr>
        <w:tc>
          <w:tcPr>
            <w:tcW w:w="9090" w:type="dxa"/>
            <w:gridSpan w:val="4"/>
            <w:tcBorders>
              <w:top w:val="single" w:color="000000" w:sz="8" w:space="0"/>
              <w:left w:val="single" w:color="000000" w:sz="8" w:space="0"/>
              <w:bottom w:val="single" w:color="000000" w:sz="8" w:space="0"/>
              <w:right w:val="single" w:color="000000" w:sz="8" w:space="0"/>
            </w:tcBorders>
            <w:shd w:val="clear" w:color="auto" w:fill="C6D9F1"/>
            <w:tcMar>
              <w:left w:w="115" w:type="dxa"/>
              <w:right w:w="115" w:type="dxa"/>
            </w:tcMar>
            <w:vAlign w:val="center"/>
          </w:tcPr>
          <w:p>
            <w:pPr>
              <w:ind w:firstLine="2800" w:firstLineChars="1000"/>
              <w:rPr>
                <w:rFonts w:hint="eastAsia" w:ascii="仿宋" w:hAnsi="仿宋" w:eastAsia="仿宋" w:cs="仿宋"/>
                <w:sz w:val="28"/>
                <w:szCs w:val="28"/>
              </w:rPr>
            </w:pPr>
            <w:r>
              <w:rPr>
                <w:rFonts w:hint="eastAsia" w:ascii="仿宋" w:hAnsi="仿宋" w:eastAsia="仿宋" w:cs="仿宋"/>
                <w:sz w:val="28"/>
                <w:szCs w:val="28"/>
              </w:rPr>
              <w:t>第二十条第（一）项</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390" w:hRule="atLeast"/>
          <w:jc w:val="center"/>
        </w:trPr>
        <w:tc>
          <w:tcPr>
            <w:tcW w:w="3920" w:type="dxa"/>
            <w:tcBorders>
              <w:top w:val="nil"/>
              <w:left w:val="single" w:color="auto" w:sz="8" w:space="0"/>
              <w:bottom w:val="single" w:color="auto" w:sz="8"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信息内容</w:t>
            </w:r>
          </w:p>
        </w:tc>
        <w:tc>
          <w:tcPr>
            <w:tcW w:w="1728" w:type="dxa"/>
            <w:tcBorders>
              <w:top w:val="single" w:color="auto" w:sz="8" w:space="0"/>
              <w:left w:val="single" w:color="auto" w:sz="8" w:space="0"/>
              <w:bottom w:val="single" w:color="auto" w:sz="8" w:space="0"/>
              <w:right w:val="nil"/>
            </w:tcBorders>
            <w:shd w:val="clear" w:color="auto" w:fill="auto"/>
            <w:tcMar>
              <w:left w:w="115" w:type="dxa"/>
            </w:tcMar>
            <w:vAlign w:val="center"/>
          </w:tcPr>
          <w:p>
            <w:pPr>
              <w:rPr>
                <w:rFonts w:hint="eastAsia" w:ascii="仿宋" w:hAnsi="仿宋" w:eastAsia="仿宋" w:cs="仿宋"/>
                <w:sz w:val="28"/>
                <w:szCs w:val="28"/>
                <w:lang w:eastAsia="zh-CN"/>
              </w:rPr>
            </w:pPr>
            <w:r>
              <w:rPr>
                <w:rFonts w:hint="eastAsia" w:ascii="仿宋" w:hAnsi="仿宋" w:eastAsia="仿宋" w:cs="仿宋"/>
                <w:sz w:val="28"/>
                <w:szCs w:val="28"/>
              </w:rPr>
              <w:t>本年</w:t>
            </w:r>
          </w:p>
          <w:p>
            <w:pPr>
              <w:rPr>
                <w:rFonts w:hint="eastAsia" w:ascii="仿宋" w:hAnsi="仿宋" w:eastAsia="仿宋" w:cs="仿宋"/>
                <w:sz w:val="28"/>
                <w:szCs w:val="28"/>
              </w:rPr>
            </w:pPr>
            <w:r>
              <w:rPr>
                <w:rFonts w:hint="eastAsia" w:ascii="仿宋" w:hAnsi="仿宋" w:eastAsia="仿宋" w:cs="仿宋"/>
                <w:sz w:val="28"/>
                <w:szCs w:val="28"/>
              </w:rPr>
              <w:t>制</w:t>
            </w:r>
            <w:r>
              <w:rPr>
                <w:rFonts w:hint="eastAsia" w:ascii="仿宋" w:hAnsi="仿宋" w:eastAsia="仿宋" w:cs="仿宋"/>
                <w:sz w:val="28"/>
                <w:szCs w:val="28"/>
                <w:lang w:val="en-US" w:eastAsia="zh-CN"/>
              </w:rPr>
              <w:t>发件</w:t>
            </w:r>
            <w:r>
              <w:rPr>
                <w:rFonts w:hint="eastAsia" w:ascii="仿宋" w:hAnsi="仿宋" w:eastAsia="仿宋" w:cs="仿宋"/>
                <w:sz w:val="28"/>
                <w:szCs w:val="28"/>
              </w:rPr>
              <w:t>数</w:t>
            </w:r>
          </w:p>
        </w:tc>
        <w:tc>
          <w:tcPr>
            <w:tcW w:w="1080" w:type="dxa"/>
            <w:tcBorders>
              <w:top w:val="single" w:color="auto" w:sz="8" w:space="0"/>
              <w:left w:val="single" w:color="auto" w:sz="8" w:space="0"/>
              <w:bottom w:val="single" w:color="auto" w:sz="8"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本年</w:t>
            </w:r>
            <w:r>
              <w:rPr>
                <w:rFonts w:hint="eastAsia" w:ascii="仿宋" w:hAnsi="仿宋" w:eastAsia="仿宋" w:cs="仿宋"/>
                <w:sz w:val="28"/>
                <w:szCs w:val="28"/>
                <w:lang w:val="en-US" w:eastAsia="zh-CN"/>
              </w:rPr>
              <w:t>废止件</w:t>
            </w:r>
            <w:r>
              <w:rPr>
                <w:rFonts w:hint="eastAsia" w:ascii="仿宋" w:hAnsi="仿宋" w:eastAsia="仿宋" w:cs="仿宋"/>
                <w:sz w:val="28"/>
                <w:szCs w:val="28"/>
              </w:rPr>
              <w:t>数</w:t>
            </w:r>
          </w:p>
        </w:tc>
        <w:tc>
          <w:tcPr>
            <w:tcW w:w="2362" w:type="dxa"/>
            <w:tcBorders>
              <w:top w:val="nil"/>
              <w:left w:val="single" w:color="auto" w:sz="8" w:space="0"/>
              <w:bottom w:val="single" w:color="auto" w:sz="8" w:space="0"/>
              <w:right w:val="single" w:color="auto" w:sz="8" w:space="0"/>
            </w:tcBorders>
            <w:shd w:val="clear" w:color="auto" w:fill="auto"/>
            <w:tcMar>
              <w:left w:w="115" w:type="dxa"/>
              <w:right w:w="115" w:type="dxa"/>
            </w:tcMar>
            <w:vAlign w:val="center"/>
          </w:tcPr>
          <w:p>
            <w:pP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现行有效件数</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316" w:hRule="atLeast"/>
          <w:jc w:val="center"/>
        </w:trPr>
        <w:tc>
          <w:tcPr>
            <w:tcW w:w="3920" w:type="dxa"/>
            <w:tcBorders>
              <w:top w:val="nil"/>
              <w:left w:val="single" w:color="auto" w:sz="8" w:space="0"/>
              <w:bottom w:val="single" w:color="auto" w:sz="8"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规章</w:t>
            </w:r>
          </w:p>
        </w:tc>
        <w:tc>
          <w:tcPr>
            <w:tcW w:w="1728" w:type="dxa"/>
            <w:tcBorders>
              <w:top w:val="nil"/>
              <w:left w:val="single" w:color="auto" w:sz="8" w:space="0"/>
              <w:bottom w:val="single" w:color="auto" w:sz="8" w:space="0"/>
              <w:right w:val="nil"/>
            </w:tcBorders>
            <w:shd w:val="clear" w:color="auto" w:fill="auto"/>
            <w:tcMar>
              <w:left w:w="115" w:type="dxa"/>
            </w:tcMar>
            <w:vAlign w:val="center"/>
          </w:tcPr>
          <w:p>
            <w:pP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w:t>
            </w:r>
          </w:p>
        </w:tc>
        <w:tc>
          <w:tcPr>
            <w:tcW w:w="1080" w:type="dxa"/>
            <w:tcBorders>
              <w:top w:val="nil"/>
              <w:left w:val="single" w:color="auto" w:sz="8" w:space="0"/>
              <w:bottom w:val="single" w:color="auto" w:sz="8" w:space="0"/>
              <w:right w:val="nil"/>
            </w:tcBorders>
            <w:shd w:val="clear" w:color="auto" w:fill="auto"/>
            <w:tcMar>
              <w:left w:w="115" w:type="dxa"/>
            </w:tcMar>
            <w:vAlign w:val="center"/>
          </w:tcPr>
          <w:p>
            <w:pP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w:t>
            </w:r>
          </w:p>
        </w:tc>
        <w:tc>
          <w:tcPr>
            <w:tcW w:w="2362" w:type="dxa"/>
            <w:tcBorders>
              <w:top w:val="nil"/>
              <w:left w:val="single" w:color="auto" w:sz="8" w:space="0"/>
              <w:bottom w:val="single" w:color="auto" w:sz="8" w:space="0"/>
              <w:right w:val="single" w:color="auto" w:sz="8" w:space="0"/>
            </w:tcBorders>
            <w:shd w:val="clear" w:color="auto" w:fill="auto"/>
            <w:tcMar>
              <w:left w:w="115" w:type="dxa"/>
              <w:right w:w="115" w:type="dxa"/>
            </w:tcMar>
            <w:vAlign w:val="center"/>
          </w:tcPr>
          <w:p>
            <w:pP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256" w:hRule="atLeast"/>
          <w:jc w:val="center"/>
        </w:trPr>
        <w:tc>
          <w:tcPr>
            <w:tcW w:w="3920" w:type="dxa"/>
            <w:tcBorders>
              <w:top w:val="nil"/>
              <w:left w:val="single" w:color="auto" w:sz="8" w:space="0"/>
              <w:bottom w:val="single" w:color="auto" w:sz="8"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规范性文件</w:t>
            </w:r>
          </w:p>
        </w:tc>
        <w:tc>
          <w:tcPr>
            <w:tcW w:w="1728" w:type="dxa"/>
            <w:tcBorders>
              <w:top w:val="nil"/>
              <w:left w:val="single" w:color="auto" w:sz="8" w:space="0"/>
              <w:bottom w:val="single" w:color="auto" w:sz="8" w:space="0"/>
              <w:right w:val="nil"/>
            </w:tcBorders>
            <w:shd w:val="clear" w:color="auto" w:fill="auto"/>
            <w:tcMar>
              <w:left w:w="115" w:type="dxa"/>
            </w:tcMar>
            <w:vAlign w:val="center"/>
          </w:tcPr>
          <w:p>
            <w:pP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w:t>
            </w:r>
          </w:p>
        </w:tc>
        <w:tc>
          <w:tcPr>
            <w:tcW w:w="1080" w:type="dxa"/>
            <w:tcBorders>
              <w:top w:val="nil"/>
              <w:left w:val="single" w:color="auto" w:sz="8" w:space="0"/>
              <w:bottom w:val="single" w:color="auto" w:sz="8" w:space="0"/>
              <w:right w:val="nil"/>
            </w:tcBorders>
            <w:shd w:val="clear" w:color="auto" w:fill="auto"/>
            <w:tcMar>
              <w:left w:w="115" w:type="dxa"/>
            </w:tcMar>
            <w:vAlign w:val="center"/>
          </w:tcPr>
          <w:p>
            <w:pP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w:t>
            </w:r>
          </w:p>
        </w:tc>
        <w:tc>
          <w:tcPr>
            <w:tcW w:w="2362" w:type="dxa"/>
            <w:tcBorders>
              <w:top w:val="nil"/>
              <w:left w:val="single" w:color="auto" w:sz="8" w:space="0"/>
              <w:bottom w:val="single" w:color="auto" w:sz="8" w:space="0"/>
              <w:right w:val="single" w:color="auto" w:sz="8" w:space="0"/>
            </w:tcBorders>
            <w:shd w:val="clear" w:color="auto" w:fill="auto"/>
            <w:tcMar>
              <w:left w:w="115" w:type="dxa"/>
              <w:right w:w="115" w:type="dxa"/>
            </w:tcMar>
            <w:vAlign w:val="center"/>
          </w:tcPr>
          <w:p>
            <w:pP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271" w:hRule="atLeast"/>
          <w:jc w:val="center"/>
        </w:trPr>
        <w:tc>
          <w:tcPr>
            <w:tcW w:w="9090" w:type="dxa"/>
            <w:gridSpan w:val="4"/>
            <w:tcBorders>
              <w:top w:val="nil"/>
              <w:left w:val="single" w:color="auto" w:sz="8" w:space="0"/>
              <w:bottom w:val="single" w:color="auto" w:sz="8" w:space="0"/>
              <w:right w:val="single" w:color="auto" w:sz="8" w:space="0"/>
            </w:tcBorders>
            <w:shd w:val="clear" w:color="auto" w:fill="C6D9F1"/>
            <w:tcMar>
              <w:left w:w="115" w:type="dxa"/>
              <w:right w:w="115" w:type="dxa"/>
            </w:tcMar>
            <w:vAlign w:val="center"/>
          </w:tcPr>
          <w:p>
            <w:pPr>
              <w:ind w:firstLine="2520" w:firstLineChars="900"/>
              <w:rPr>
                <w:rFonts w:hint="eastAsia" w:ascii="仿宋" w:hAnsi="仿宋" w:eastAsia="仿宋" w:cs="仿宋"/>
                <w:sz w:val="28"/>
                <w:szCs w:val="28"/>
              </w:rPr>
            </w:pPr>
            <w:r>
              <w:rPr>
                <w:rFonts w:hint="eastAsia" w:ascii="仿宋" w:hAnsi="仿宋" w:eastAsia="仿宋" w:cs="仿宋"/>
                <w:sz w:val="28"/>
                <w:szCs w:val="28"/>
              </w:rPr>
              <w:t>第二十条第（五）项</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420" w:hRule="atLeast"/>
          <w:jc w:val="center"/>
        </w:trPr>
        <w:tc>
          <w:tcPr>
            <w:tcW w:w="3920" w:type="dxa"/>
            <w:tcBorders>
              <w:top w:val="nil"/>
              <w:left w:val="single" w:color="auto" w:sz="8" w:space="0"/>
              <w:bottom w:val="single" w:color="auto" w:sz="8"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信息内容</w:t>
            </w:r>
          </w:p>
        </w:tc>
        <w:tc>
          <w:tcPr>
            <w:tcW w:w="5170" w:type="dxa"/>
            <w:gridSpan w:val="3"/>
            <w:tcBorders>
              <w:top w:val="single" w:color="auto" w:sz="8" w:space="0"/>
              <w:left w:val="single" w:color="auto" w:sz="8" w:space="0"/>
              <w:bottom w:val="single" w:color="auto" w:sz="8" w:space="0"/>
              <w:right w:val="single" w:color="auto" w:sz="8" w:space="0"/>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本年处理决定数量</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316" w:hRule="atLeast"/>
          <w:jc w:val="center"/>
        </w:trPr>
        <w:tc>
          <w:tcPr>
            <w:tcW w:w="3920" w:type="dxa"/>
            <w:tcBorders>
              <w:top w:val="nil"/>
              <w:left w:val="single" w:color="auto" w:sz="8" w:space="0"/>
              <w:bottom w:val="single" w:color="auto" w:sz="8"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行政许可</w:t>
            </w:r>
          </w:p>
        </w:tc>
        <w:tc>
          <w:tcPr>
            <w:tcW w:w="5170" w:type="dxa"/>
            <w:gridSpan w:val="3"/>
            <w:tcBorders>
              <w:top w:val="nil"/>
              <w:left w:val="single" w:color="auto" w:sz="8" w:space="0"/>
              <w:bottom w:val="single" w:color="auto" w:sz="8" w:space="0"/>
              <w:right w:val="single" w:color="auto" w:sz="8" w:space="0"/>
            </w:tcBorders>
            <w:shd w:val="clear" w:color="auto" w:fill="auto"/>
            <w:tcMar>
              <w:left w:w="115" w:type="dxa"/>
            </w:tcMar>
            <w:vAlign w:val="center"/>
          </w:tcPr>
          <w:p>
            <w:pPr>
              <w:jc w:val="both"/>
              <w:rPr>
                <w:rFonts w:hint="eastAsia" w:ascii="仿宋" w:hAnsi="仿宋" w:eastAsia="仿宋" w:cs="仿宋"/>
                <w:sz w:val="28"/>
                <w:szCs w:val="28"/>
              </w:rPr>
            </w:pPr>
            <w:r>
              <w:rPr>
                <w:rFonts w:hint="eastAsia" w:ascii="仿宋" w:hAnsi="仿宋" w:eastAsia="仿宋" w:cs="仿宋"/>
                <w:sz w:val="28"/>
                <w:szCs w:val="28"/>
                <w:lang w:val="en-US" w:eastAsia="zh-CN"/>
              </w:rPr>
              <w:t>7</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196" w:hRule="atLeast"/>
          <w:jc w:val="center"/>
        </w:trPr>
        <w:tc>
          <w:tcPr>
            <w:tcW w:w="9090" w:type="dxa"/>
            <w:gridSpan w:val="4"/>
            <w:tcBorders>
              <w:top w:val="nil"/>
              <w:left w:val="single" w:color="auto" w:sz="8" w:space="0"/>
              <w:bottom w:val="single" w:color="auto" w:sz="8" w:space="0"/>
              <w:right w:val="single" w:color="auto" w:sz="8" w:space="0"/>
            </w:tcBorders>
            <w:shd w:val="clear" w:color="auto" w:fill="C6D9F1"/>
            <w:tcMar>
              <w:left w:w="115" w:type="dxa"/>
              <w:right w:w="115" w:type="dxa"/>
            </w:tcMar>
            <w:vAlign w:val="center"/>
          </w:tcPr>
          <w:p>
            <w:pPr>
              <w:ind w:firstLine="2520" w:firstLineChars="900"/>
              <w:rPr>
                <w:rFonts w:hint="eastAsia" w:ascii="仿宋" w:hAnsi="仿宋" w:eastAsia="仿宋" w:cs="仿宋"/>
                <w:sz w:val="28"/>
                <w:szCs w:val="28"/>
              </w:rPr>
            </w:pPr>
            <w:r>
              <w:rPr>
                <w:rFonts w:hint="eastAsia" w:ascii="仿宋" w:hAnsi="仿宋" w:eastAsia="仿宋" w:cs="仿宋"/>
                <w:sz w:val="28"/>
                <w:szCs w:val="28"/>
              </w:rPr>
              <w:t>第二十条第（六）项</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570" w:hRule="atLeast"/>
          <w:jc w:val="center"/>
        </w:trPr>
        <w:tc>
          <w:tcPr>
            <w:tcW w:w="3920" w:type="dxa"/>
            <w:tcBorders>
              <w:top w:val="nil"/>
              <w:left w:val="single" w:color="auto" w:sz="8" w:space="0"/>
              <w:bottom w:val="single" w:color="auto" w:sz="8"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信息内容</w:t>
            </w:r>
          </w:p>
        </w:tc>
        <w:tc>
          <w:tcPr>
            <w:tcW w:w="5170" w:type="dxa"/>
            <w:gridSpan w:val="3"/>
            <w:tcBorders>
              <w:top w:val="single" w:color="auto" w:sz="8" w:space="0"/>
              <w:left w:val="single" w:color="auto" w:sz="8" w:space="0"/>
              <w:bottom w:val="single" w:color="auto" w:sz="8" w:space="0"/>
              <w:right w:val="single" w:color="auto" w:sz="8" w:space="0"/>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本年处理决定数量</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tblCellMar>
            <w:top w:w="0" w:type="dxa"/>
            <w:left w:w="0" w:type="dxa"/>
            <w:bottom w:w="0" w:type="dxa"/>
            <w:right w:w="0" w:type="dxa"/>
          </w:tblCellMar>
        </w:tblPrEx>
        <w:trPr>
          <w:trHeight w:val="465" w:hRule="atLeast"/>
          <w:jc w:val="center"/>
        </w:trPr>
        <w:tc>
          <w:tcPr>
            <w:tcW w:w="3920" w:type="dxa"/>
            <w:tcBorders>
              <w:top w:val="nil"/>
              <w:left w:val="single" w:color="auto" w:sz="8" w:space="0"/>
              <w:bottom w:val="single" w:color="auto" w:sz="8"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行政处罚</w:t>
            </w:r>
          </w:p>
        </w:tc>
        <w:tc>
          <w:tcPr>
            <w:tcW w:w="5170" w:type="dxa"/>
            <w:gridSpan w:val="3"/>
            <w:tcBorders>
              <w:top w:val="nil"/>
              <w:left w:val="single" w:color="auto" w:sz="8" w:space="0"/>
              <w:bottom w:val="single" w:color="auto" w:sz="8" w:space="0"/>
              <w:right w:val="single" w:color="auto" w:sz="8" w:space="0"/>
            </w:tcBorders>
            <w:shd w:val="clear" w:color="auto" w:fill="auto"/>
            <w:tcMar>
              <w:left w:w="115" w:type="dxa"/>
            </w:tcMar>
            <w:vAlign w:val="center"/>
          </w:tcPr>
          <w:p>
            <w:pP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tblCellMar>
            <w:top w:w="0" w:type="dxa"/>
            <w:left w:w="0" w:type="dxa"/>
            <w:bottom w:w="0" w:type="dxa"/>
            <w:right w:w="0" w:type="dxa"/>
          </w:tblCellMar>
        </w:tblPrEx>
        <w:trPr>
          <w:trHeight w:val="495" w:hRule="atLeast"/>
          <w:jc w:val="center"/>
        </w:trPr>
        <w:tc>
          <w:tcPr>
            <w:tcW w:w="3920" w:type="dxa"/>
            <w:tcBorders>
              <w:top w:val="nil"/>
              <w:left w:val="single" w:color="auto" w:sz="8" w:space="0"/>
              <w:bottom w:val="single" w:color="auto" w:sz="8"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行政强制</w:t>
            </w:r>
          </w:p>
        </w:tc>
        <w:tc>
          <w:tcPr>
            <w:tcW w:w="5170" w:type="dxa"/>
            <w:gridSpan w:val="3"/>
            <w:tcBorders>
              <w:top w:val="nil"/>
              <w:left w:val="single" w:color="auto" w:sz="8" w:space="0"/>
              <w:bottom w:val="single" w:color="auto" w:sz="8" w:space="0"/>
              <w:right w:val="single" w:color="auto" w:sz="8" w:space="0"/>
            </w:tcBorders>
            <w:shd w:val="clear" w:color="auto" w:fill="auto"/>
            <w:tcMar>
              <w:left w:w="115" w:type="dxa"/>
            </w:tcMar>
            <w:vAlign w:val="center"/>
          </w:tcPr>
          <w:p>
            <w:pP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tblCellMar>
            <w:top w:w="0" w:type="dxa"/>
            <w:left w:w="0" w:type="dxa"/>
            <w:bottom w:w="0" w:type="dxa"/>
            <w:right w:w="0" w:type="dxa"/>
          </w:tblCellMar>
        </w:tblPrEx>
        <w:trPr>
          <w:trHeight w:val="271" w:hRule="atLeast"/>
          <w:jc w:val="center"/>
        </w:trPr>
        <w:tc>
          <w:tcPr>
            <w:tcW w:w="9090" w:type="dxa"/>
            <w:gridSpan w:val="4"/>
            <w:tcBorders>
              <w:top w:val="nil"/>
              <w:left w:val="single" w:color="auto" w:sz="8" w:space="0"/>
              <w:bottom w:val="single" w:color="auto" w:sz="8" w:space="0"/>
              <w:right w:val="single" w:color="auto" w:sz="8" w:space="0"/>
            </w:tcBorders>
            <w:shd w:val="clear" w:color="auto" w:fill="C6D9F1"/>
            <w:tcMar>
              <w:left w:w="115" w:type="dxa"/>
              <w:right w:w="115" w:type="dxa"/>
            </w:tcMar>
            <w:vAlign w:val="center"/>
          </w:tcPr>
          <w:p>
            <w:pPr>
              <w:ind w:firstLine="2520" w:firstLineChars="900"/>
              <w:rPr>
                <w:rFonts w:hint="eastAsia" w:ascii="仿宋" w:hAnsi="仿宋" w:eastAsia="仿宋" w:cs="仿宋"/>
                <w:sz w:val="28"/>
                <w:szCs w:val="28"/>
              </w:rPr>
            </w:pPr>
            <w:r>
              <w:rPr>
                <w:rFonts w:hint="eastAsia" w:ascii="仿宋" w:hAnsi="仿宋" w:eastAsia="仿宋" w:cs="仿宋"/>
                <w:sz w:val="28"/>
                <w:szCs w:val="28"/>
              </w:rPr>
              <w:t>第二十条第（八）项</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tblCellMar>
            <w:top w:w="0" w:type="dxa"/>
            <w:left w:w="0" w:type="dxa"/>
            <w:bottom w:w="0" w:type="dxa"/>
            <w:right w:w="0" w:type="dxa"/>
          </w:tblCellMar>
        </w:tblPrEx>
        <w:trPr>
          <w:trHeight w:val="405" w:hRule="atLeast"/>
          <w:jc w:val="center"/>
        </w:trPr>
        <w:tc>
          <w:tcPr>
            <w:tcW w:w="3920" w:type="dxa"/>
            <w:tcBorders>
              <w:top w:val="nil"/>
              <w:left w:val="single" w:color="auto" w:sz="8" w:space="0"/>
              <w:bottom w:val="single" w:color="auto" w:sz="8"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信息内容</w:t>
            </w:r>
          </w:p>
        </w:tc>
        <w:tc>
          <w:tcPr>
            <w:tcW w:w="5170" w:type="dxa"/>
            <w:gridSpan w:val="3"/>
            <w:tcBorders>
              <w:top w:val="nil"/>
              <w:left w:val="single" w:color="auto" w:sz="8" w:space="0"/>
              <w:bottom w:val="single" w:color="auto" w:sz="8" w:space="0"/>
              <w:right w:val="single" w:color="000000" w:sz="8" w:space="0"/>
            </w:tcBorders>
            <w:shd w:val="clear" w:color="auto" w:fill="auto"/>
            <w:tcMar>
              <w:left w:w="115" w:type="dxa"/>
            </w:tcMar>
            <w:vAlign w:val="center"/>
          </w:tcPr>
          <w:p>
            <w:pP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本年收费金额（单位：万元）</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tblCellMar>
            <w:top w:w="0" w:type="dxa"/>
            <w:left w:w="0" w:type="dxa"/>
            <w:bottom w:w="0" w:type="dxa"/>
            <w:right w:w="0" w:type="dxa"/>
          </w:tblCellMar>
        </w:tblPrEx>
        <w:trPr>
          <w:trHeight w:val="60" w:hRule="atLeast"/>
          <w:jc w:val="center"/>
        </w:trPr>
        <w:tc>
          <w:tcPr>
            <w:tcW w:w="3920" w:type="dxa"/>
            <w:tcBorders>
              <w:top w:val="nil"/>
              <w:left w:val="single" w:color="auto" w:sz="8" w:space="0"/>
              <w:bottom w:val="single" w:color="auto" w:sz="8" w:space="0"/>
              <w:right w:val="nil"/>
            </w:tcBorders>
            <w:shd w:val="clear" w:color="auto" w:fill="auto"/>
            <w:tcMar>
              <w:left w:w="115" w:type="dxa"/>
            </w:tcMar>
            <w:vAlign w:val="center"/>
          </w:tcPr>
          <w:p>
            <w:pPr>
              <w:rPr>
                <w:rFonts w:hint="eastAsia" w:ascii="仿宋" w:hAnsi="仿宋" w:eastAsia="仿宋" w:cs="仿宋"/>
                <w:color w:val="auto"/>
                <w:sz w:val="28"/>
                <w:szCs w:val="28"/>
              </w:rPr>
            </w:pPr>
            <w:r>
              <w:rPr>
                <w:rFonts w:hint="eastAsia" w:ascii="仿宋" w:hAnsi="仿宋" w:eastAsia="仿宋" w:cs="仿宋"/>
                <w:color w:val="auto"/>
                <w:sz w:val="28"/>
                <w:szCs w:val="28"/>
              </w:rPr>
              <w:t>行政事业性收费</w:t>
            </w:r>
          </w:p>
        </w:tc>
        <w:tc>
          <w:tcPr>
            <w:tcW w:w="1728" w:type="dxa"/>
            <w:tcBorders>
              <w:top w:val="nil"/>
              <w:left w:val="single" w:color="auto" w:sz="8" w:space="0"/>
              <w:bottom w:val="single" w:color="auto" w:sz="8" w:space="0"/>
              <w:right w:val="nil"/>
            </w:tcBorders>
            <w:shd w:val="clear" w:color="auto" w:fill="auto"/>
            <w:tcMar>
              <w:left w:w="115" w:type="dxa"/>
            </w:tcMar>
            <w:vAlign w:val="center"/>
          </w:tcPr>
          <w:p>
            <w:pPr>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338.562</w:t>
            </w:r>
          </w:p>
        </w:tc>
        <w:tc>
          <w:tcPr>
            <w:tcW w:w="3442" w:type="dxa"/>
            <w:gridSpan w:val="2"/>
            <w:tcBorders>
              <w:top w:val="nil"/>
              <w:left w:val="single" w:color="auto" w:sz="8" w:space="0"/>
              <w:bottom w:val="single" w:color="auto" w:sz="8" w:space="0"/>
              <w:right w:val="single" w:color="auto" w:sz="8" w:space="0"/>
            </w:tcBorders>
            <w:shd w:val="clear" w:color="auto" w:fill="auto"/>
            <w:tcMar>
              <w:left w:w="115" w:type="dxa"/>
              <w:right w:w="115" w:type="dxa"/>
            </w:tcMar>
            <w:vAlign w:val="center"/>
          </w:tcPr>
          <w:p>
            <w:pPr>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w:t>
            </w:r>
          </w:p>
        </w:tc>
      </w:tr>
    </w:tbl>
    <w:p>
      <w:pPr>
        <w:numPr>
          <w:ilvl w:val="0"/>
          <w:numId w:val="2"/>
        </w:numPr>
        <w:ind w:left="0" w:leftChars="0" w:firstLine="0" w:firstLineChars="0"/>
        <w:rPr>
          <w:rFonts w:hint="eastAsia" w:ascii="仿宋" w:hAnsi="仿宋" w:eastAsia="仿宋" w:cs="仿宋"/>
          <w:b/>
          <w:bCs/>
          <w:sz w:val="28"/>
          <w:szCs w:val="28"/>
        </w:rPr>
      </w:pPr>
      <w:r>
        <w:rPr>
          <w:rFonts w:hint="eastAsia" w:ascii="仿宋" w:hAnsi="仿宋" w:eastAsia="仿宋" w:cs="仿宋"/>
          <w:b/>
          <w:bCs/>
          <w:sz w:val="28"/>
          <w:szCs w:val="28"/>
        </w:rPr>
        <w:t>收到和处理政府信息公开申请情况</w:t>
      </w:r>
    </w:p>
    <w:p>
      <w:pPr>
        <w:widowControl w:val="0"/>
        <w:numPr>
          <w:numId w:val="0"/>
        </w:numPr>
        <w:jc w:val="both"/>
        <w:rPr>
          <w:rFonts w:hint="eastAsia" w:ascii="仿宋" w:hAnsi="仿宋" w:eastAsia="仿宋" w:cs="仿宋"/>
          <w:b/>
          <w:bCs/>
          <w:sz w:val="28"/>
          <w:szCs w:val="28"/>
        </w:rPr>
      </w:pPr>
    </w:p>
    <w:p>
      <w:pPr>
        <w:widowControl w:val="0"/>
        <w:numPr>
          <w:numId w:val="0"/>
        </w:numPr>
        <w:jc w:val="both"/>
        <w:rPr>
          <w:rFonts w:hint="eastAsia" w:ascii="仿宋" w:hAnsi="仿宋" w:eastAsia="仿宋" w:cs="仿宋"/>
          <w:b/>
          <w:bCs/>
          <w:sz w:val="28"/>
          <w:szCs w:val="28"/>
        </w:rPr>
      </w:pPr>
    </w:p>
    <w:p>
      <w:pPr>
        <w:widowControl w:val="0"/>
        <w:numPr>
          <w:numId w:val="0"/>
        </w:numPr>
        <w:jc w:val="both"/>
        <w:rPr>
          <w:rFonts w:hint="eastAsia" w:ascii="仿宋" w:hAnsi="仿宋" w:eastAsia="仿宋" w:cs="仿宋"/>
          <w:b/>
          <w:bCs/>
          <w:sz w:val="28"/>
          <w:szCs w:val="28"/>
        </w:rPr>
      </w:pPr>
    </w:p>
    <w:p>
      <w:pPr>
        <w:widowControl w:val="0"/>
        <w:numPr>
          <w:numId w:val="0"/>
        </w:numPr>
        <w:jc w:val="both"/>
        <w:rPr>
          <w:rFonts w:hint="eastAsia" w:ascii="仿宋" w:hAnsi="仿宋" w:eastAsia="仿宋" w:cs="仿宋"/>
          <w:b/>
          <w:bCs/>
          <w:sz w:val="28"/>
          <w:szCs w:val="28"/>
        </w:rPr>
      </w:pPr>
    </w:p>
    <w:p>
      <w:pPr>
        <w:widowControl w:val="0"/>
        <w:numPr>
          <w:numId w:val="0"/>
        </w:numPr>
        <w:jc w:val="both"/>
        <w:rPr>
          <w:rFonts w:hint="eastAsia" w:ascii="仿宋" w:hAnsi="仿宋" w:eastAsia="仿宋" w:cs="仿宋"/>
          <w:b/>
          <w:bCs/>
          <w:sz w:val="28"/>
          <w:szCs w:val="28"/>
        </w:rPr>
      </w:pPr>
    </w:p>
    <w:tbl>
      <w:tblPr>
        <w:tblStyle w:val="4"/>
        <w:tblW w:w="8880" w:type="dxa"/>
        <w:jc w:val="center"/>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810"/>
        <w:gridCol w:w="963"/>
        <w:gridCol w:w="1298"/>
        <w:gridCol w:w="543"/>
        <w:gridCol w:w="486"/>
        <w:gridCol w:w="486"/>
        <w:gridCol w:w="486"/>
        <w:gridCol w:w="486"/>
        <w:gridCol w:w="1027"/>
        <w:gridCol w:w="2295"/>
      </w:tblGrid>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3071" w:type="dxa"/>
            <w:gridSpan w:val="3"/>
            <w:vMerge w:val="restart"/>
            <w:tcBorders>
              <w:top w:val="single" w:color="auto" w:sz="6" w:space="0"/>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（本列数据的勾稽关系为：第一项加第二项之和，等于第三项加第四项之和）</w:t>
            </w:r>
          </w:p>
        </w:tc>
        <w:tc>
          <w:tcPr>
            <w:tcW w:w="5809" w:type="dxa"/>
            <w:gridSpan w:val="7"/>
            <w:tcBorders>
              <w:top w:val="single" w:color="000000" w:sz="6" w:space="0"/>
              <w:left w:val="single" w:color="000000" w:sz="6" w:space="0"/>
              <w:bottom w:val="single" w:color="000000" w:sz="6" w:space="0"/>
              <w:right w:val="single" w:color="000000" w:sz="6" w:space="0"/>
            </w:tcBorders>
            <w:shd w:val="clear" w:color="auto" w:fill="auto"/>
            <w:tcMar>
              <w:left w:w="115" w:type="dxa"/>
              <w:righ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申请人情况</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3071" w:type="dxa"/>
            <w:gridSpan w:val="3"/>
            <w:vMerge w:val="continue"/>
            <w:tcBorders>
              <w:top w:val="single" w:color="auto" w:sz="6" w:space="0"/>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p>
        </w:tc>
        <w:tc>
          <w:tcPr>
            <w:tcW w:w="543" w:type="dxa"/>
            <w:vMerge w:val="restart"/>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自然人</w:t>
            </w:r>
          </w:p>
        </w:tc>
        <w:tc>
          <w:tcPr>
            <w:tcW w:w="2971" w:type="dxa"/>
            <w:gridSpan w:val="5"/>
            <w:tcBorders>
              <w:top w:val="single" w:color="auto" w:sz="6" w:space="0"/>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法人或其他组织</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总计</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3071" w:type="dxa"/>
            <w:gridSpan w:val="3"/>
            <w:vMerge w:val="continue"/>
            <w:tcBorders>
              <w:top w:val="single" w:color="auto" w:sz="6" w:space="0"/>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p>
        </w:tc>
        <w:tc>
          <w:tcPr>
            <w:tcW w:w="543" w:type="dxa"/>
            <w:vMerge w:val="continue"/>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商业企业</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科研机构</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社会公益组织</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法律服务机构</w:t>
            </w:r>
          </w:p>
        </w:tc>
        <w:tc>
          <w:tcPr>
            <w:tcW w:w="1027"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其他</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330" w:hRule="atLeast"/>
          <w:jc w:val="center"/>
        </w:trPr>
        <w:tc>
          <w:tcPr>
            <w:tcW w:w="3071" w:type="dxa"/>
            <w:gridSpan w:val="3"/>
            <w:tcBorders>
              <w:top w:val="single" w:color="auto" w:sz="6" w:space="0"/>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一、本年新收政府信息公开申请数量</w:t>
            </w:r>
          </w:p>
        </w:tc>
        <w:tc>
          <w:tcPr>
            <w:tcW w:w="543" w:type="dxa"/>
            <w:tcBorders>
              <w:top w:val="nil"/>
              <w:left w:val="single" w:color="auto" w:sz="6" w:space="0"/>
              <w:bottom w:val="single" w:color="auto" w:sz="6" w:space="0"/>
              <w:right w:val="nil"/>
            </w:tcBorders>
            <w:shd w:val="clear" w:color="auto" w:fill="auto"/>
            <w:tcMar>
              <w:left w:w="115" w:type="dxa"/>
            </w:tcMar>
            <w:vAlign w:val="center"/>
          </w:tcPr>
          <w:p>
            <w:pP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c>
          <w:tcPr>
            <w:tcW w:w="1027"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271" w:hRule="atLeast"/>
          <w:jc w:val="center"/>
        </w:trPr>
        <w:tc>
          <w:tcPr>
            <w:tcW w:w="3071" w:type="dxa"/>
            <w:gridSpan w:val="3"/>
            <w:tcBorders>
              <w:top w:val="single" w:color="auto" w:sz="6" w:space="0"/>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二、上年结转政府信息公开申请数量</w:t>
            </w:r>
          </w:p>
        </w:tc>
        <w:tc>
          <w:tcPr>
            <w:tcW w:w="543"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　</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　</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　</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c>
          <w:tcPr>
            <w:tcW w:w="1027"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　</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810" w:type="dxa"/>
            <w:vMerge w:val="restart"/>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三、本年度办理结果</w:t>
            </w:r>
          </w:p>
        </w:tc>
        <w:tc>
          <w:tcPr>
            <w:tcW w:w="2261" w:type="dxa"/>
            <w:gridSpan w:val="2"/>
            <w:tcBorders>
              <w:top w:val="single" w:color="auto" w:sz="6" w:space="0"/>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（一）予以公开</w:t>
            </w:r>
          </w:p>
        </w:tc>
        <w:tc>
          <w:tcPr>
            <w:tcW w:w="543" w:type="dxa"/>
            <w:tcBorders>
              <w:top w:val="nil"/>
              <w:left w:val="single" w:color="auto" w:sz="6" w:space="0"/>
              <w:bottom w:val="single" w:color="auto" w:sz="6" w:space="0"/>
              <w:right w:val="nil"/>
            </w:tcBorders>
            <w:shd w:val="clear" w:color="auto" w:fill="auto"/>
            <w:tcMar>
              <w:left w:w="115" w:type="dxa"/>
            </w:tcMar>
            <w:vAlign w:val="center"/>
          </w:tcPr>
          <w:p>
            <w:pPr>
              <w:rPr>
                <w:rFonts w:hint="default" w:ascii="仿宋" w:hAnsi="仿宋" w:eastAsia="仿宋" w:cs="仿宋"/>
                <w:sz w:val="28"/>
                <w:szCs w:val="28"/>
                <w:lang w:val="en-US" w:eastAsia="zh-CN"/>
              </w:rPr>
            </w:pP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　</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　</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　</w:t>
            </w:r>
          </w:p>
        </w:tc>
        <w:tc>
          <w:tcPr>
            <w:tcW w:w="1027"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　</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810" w:type="dxa"/>
            <w:vMerge w:val="continue"/>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p>
        </w:tc>
        <w:tc>
          <w:tcPr>
            <w:tcW w:w="2261" w:type="dxa"/>
            <w:gridSpan w:val="2"/>
            <w:tcBorders>
              <w:top w:val="single" w:color="auto" w:sz="6" w:space="0"/>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（二）部分公开（区分处理的，只计这一情形，不计其他情形）</w:t>
            </w:r>
          </w:p>
        </w:tc>
        <w:tc>
          <w:tcPr>
            <w:tcW w:w="543"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lang w:val="en-US" w:eastAsia="zh-CN"/>
              </w:rPr>
            </w:pP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c>
          <w:tcPr>
            <w:tcW w:w="1027"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810" w:type="dxa"/>
            <w:vMerge w:val="continue"/>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p>
        </w:tc>
        <w:tc>
          <w:tcPr>
            <w:tcW w:w="963" w:type="dxa"/>
            <w:vMerge w:val="restart"/>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（三）不予公开</w:t>
            </w:r>
          </w:p>
        </w:tc>
        <w:tc>
          <w:tcPr>
            <w:tcW w:w="1298"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1.属于国家秘密</w:t>
            </w:r>
          </w:p>
        </w:tc>
        <w:tc>
          <w:tcPr>
            <w:tcW w:w="543"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　-</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　</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　</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　</w:t>
            </w:r>
          </w:p>
        </w:tc>
        <w:tc>
          <w:tcPr>
            <w:tcW w:w="1027"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　</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810" w:type="dxa"/>
            <w:vMerge w:val="continue"/>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p>
        </w:tc>
        <w:tc>
          <w:tcPr>
            <w:tcW w:w="963" w:type="dxa"/>
            <w:vMerge w:val="continue"/>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p>
        </w:tc>
        <w:tc>
          <w:tcPr>
            <w:tcW w:w="1298"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2.其他法律行政法规禁止公开</w:t>
            </w:r>
          </w:p>
        </w:tc>
        <w:tc>
          <w:tcPr>
            <w:tcW w:w="543"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　-</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　-</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　-</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　-</w:t>
            </w:r>
          </w:p>
        </w:tc>
        <w:tc>
          <w:tcPr>
            <w:tcW w:w="1027"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　-</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810" w:type="dxa"/>
            <w:vMerge w:val="continue"/>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p>
        </w:tc>
        <w:tc>
          <w:tcPr>
            <w:tcW w:w="963" w:type="dxa"/>
            <w:vMerge w:val="continue"/>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p>
        </w:tc>
        <w:tc>
          <w:tcPr>
            <w:tcW w:w="1298"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3.危及“三安全一稳定”</w:t>
            </w:r>
          </w:p>
        </w:tc>
        <w:tc>
          <w:tcPr>
            <w:tcW w:w="543"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c>
          <w:tcPr>
            <w:tcW w:w="1027"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810" w:type="dxa"/>
            <w:vMerge w:val="continue"/>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p>
        </w:tc>
        <w:tc>
          <w:tcPr>
            <w:tcW w:w="963" w:type="dxa"/>
            <w:vMerge w:val="continue"/>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p>
        </w:tc>
        <w:tc>
          <w:tcPr>
            <w:tcW w:w="1298"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4.保护第三方合法权益</w:t>
            </w:r>
          </w:p>
        </w:tc>
        <w:tc>
          <w:tcPr>
            <w:tcW w:w="543" w:type="dxa"/>
            <w:tcBorders>
              <w:top w:val="nil"/>
              <w:left w:val="single" w:color="auto" w:sz="6" w:space="0"/>
              <w:bottom w:val="single" w:color="auto" w:sz="6" w:space="0"/>
              <w:right w:val="nil"/>
            </w:tcBorders>
            <w:shd w:val="clear" w:color="auto" w:fill="auto"/>
            <w:tcMar>
              <w:left w:w="115" w:type="dxa"/>
            </w:tcMar>
            <w:vAlign w:val="top"/>
          </w:tcPr>
          <w:p>
            <w:pPr>
              <w:rPr>
                <w:rFonts w:hint="eastAsia" w:ascii="仿宋" w:hAnsi="仿宋" w:eastAsia="仿宋" w:cs="仿宋"/>
                <w:sz w:val="28"/>
                <w:szCs w:val="28"/>
              </w:rPr>
            </w:pPr>
            <w:r>
              <w:rPr>
                <w:rFonts w:hint="eastAsia" w:ascii="仿宋" w:hAnsi="仿宋" w:eastAsia="仿宋" w:cs="仿宋"/>
                <w:sz w:val="28"/>
                <w:szCs w:val="28"/>
              </w:rPr>
              <w:t>-</w:t>
            </w:r>
          </w:p>
        </w:tc>
        <w:tc>
          <w:tcPr>
            <w:tcW w:w="486" w:type="dxa"/>
            <w:tcBorders>
              <w:top w:val="nil"/>
              <w:left w:val="single" w:color="auto" w:sz="6" w:space="0"/>
              <w:bottom w:val="single" w:color="auto" w:sz="6" w:space="0"/>
              <w:right w:val="nil"/>
            </w:tcBorders>
            <w:shd w:val="clear" w:color="auto" w:fill="auto"/>
            <w:tcMar>
              <w:left w:w="115" w:type="dxa"/>
            </w:tcMar>
            <w:vAlign w:val="top"/>
          </w:tcPr>
          <w:p>
            <w:pPr>
              <w:rPr>
                <w:rFonts w:hint="eastAsia" w:ascii="仿宋" w:hAnsi="仿宋" w:eastAsia="仿宋" w:cs="仿宋"/>
                <w:sz w:val="28"/>
                <w:szCs w:val="28"/>
              </w:rPr>
            </w:pPr>
            <w:r>
              <w:rPr>
                <w:rFonts w:hint="eastAsia" w:ascii="仿宋" w:hAnsi="仿宋" w:eastAsia="仿宋" w:cs="仿宋"/>
                <w:sz w:val="28"/>
                <w:szCs w:val="28"/>
              </w:rPr>
              <w:t>-</w:t>
            </w:r>
          </w:p>
        </w:tc>
        <w:tc>
          <w:tcPr>
            <w:tcW w:w="486" w:type="dxa"/>
            <w:tcBorders>
              <w:top w:val="nil"/>
              <w:left w:val="single" w:color="auto" w:sz="6" w:space="0"/>
              <w:bottom w:val="single" w:color="auto" w:sz="6" w:space="0"/>
              <w:right w:val="nil"/>
            </w:tcBorders>
            <w:shd w:val="clear" w:color="auto" w:fill="auto"/>
            <w:tcMar>
              <w:left w:w="115" w:type="dxa"/>
            </w:tcMar>
            <w:vAlign w:val="top"/>
          </w:tcPr>
          <w:p>
            <w:pPr>
              <w:rPr>
                <w:rFonts w:hint="eastAsia" w:ascii="仿宋" w:hAnsi="仿宋" w:eastAsia="仿宋" w:cs="仿宋"/>
                <w:sz w:val="28"/>
                <w:szCs w:val="28"/>
              </w:rPr>
            </w:pPr>
            <w:r>
              <w:rPr>
                <w:rFonts w:hint="eastAsia" w:ascii="仿宋" w:hAnsi="仿宋" w:eastAsia="仿宋" w:cs="仿宋"/>
                <w:sz w:val="28"/>
                <w:szCs w:val="28"/>
              </w:rPr>
              <w:t>-</w:t>
            </w:r>
          </w:p>
        </w:tc>
        <w:tc>
          <w:tcPr>
            <w:tcW w:w="486" w:type="dxa"/>
            <w:tcBorders>
              <w:top w:val="nil"/>
              <w:left w:val="single" w:color="auto" w:sz="6" w:space="0"/>
              <w:bottom w:val="single" w:color="auto" w:sz="6" w:space="0"/>
              <w:right w:val="nil"/>
            </w:tcBorders>
            <w:shd w:val="clear" w:color="auto" w:fill="auto"/>
            <w:tcMar>
              <w:left w:w="115" w:type="dxa"/>
            </w:tcMar>
            <w:vAlign w:val="top"/>
          </w:tcPr>
          <w:p>
            <w:pPr>
              <w:rPr>
                <w:rFonts w:hint="eastAsia" w:ascii="仿宋" w:hAnsi="仿宋" w:eastAsia="仿宋" w:cs="仿宋"/>
                <w:sz w:val="28"/>
                <w:szCs w:val="28"/>
              </w:rPr>
            </w:pPr>
            <w:r>
              <w:rPr>
                <w:rFonts w:hint="eastAsia" w:ascii="仿宋" w:hAnsi="仿宋" w:eastAsia="仿宋" w:cs="仿宋"/>
                <w:sz w:val="28"/>
                <w:szCs w:val="28"/>
              </w:rPr>
              <w:t>-</w:t>
            </w:r>
          </w:p>
        </w:tc>
        <w:tc>
          <w:tcPr>
            <w:tcW w:w="486" w:type="dxa"/>
            <w:tcBorders>
              <w:top w:val="nil"/>
              <w:left w:val="single" w:color="auto" w:sz="6" w:space="0"/>
              <w:bottom w:val="single" w:color="auto" w:sz="6" w:space="0"/>
              <w:right w:val="nil"/>
            </w:tcBorders>
            <w:shd w:val="clear" w:color="auto" w:fill="auto"/>
            <w:tcMar>
              <w:left w:w="115" w:type="dxa"/>
            </w:tcMar>
            <w:vAlign w:val="top"/>
          </w:tcPr>
          <w:p>
            <w:pPr>
              <w:rPr>
                <w:rFonts w:hint="eastAsia" w:ascii="仿宋" w:hAnsi="仿宋" w:eastAsia="仿宋" w:cs="仿宋"/>
                <w:sz w:val="28"/>
                <w:szCs w:val="28"/>
              </w:rPr>
            </w:pPr>
            <w:r>
              <w:rPr>
                <w:rFonts w:hint="eastAsia" w:ascii="仿宋" w:hAnsi="仿宋" w:eastAsia="仿宋" w:cs="仿宋"/>
                <w:sz w:val="28"/>
                <w:szCs w:val="28"/>
              </w:rPr>
              <w:t>-</w:t>
            </w:r>
          </w:p>
        </w:tc>
        <w:tc>
          <w:tcPr>
            <w:tcW w:w="1027" w:type="dxa"/>
            <w:tcBorders>
              <w:top w:val="nil"/>
              <w:left w:val="single" w:color="auto" w:sz="6" w:space="0"/>
              <w:bottom w:val="single" w:color="auto" w:sz="6" w:space="0"/>
              <w:right w:val="nil"/>
            </w:tcBorders>
            <w:shd w:val="clear" w:color="auto" w:fill="auto"/>
            <w:tcMar>
              <w:left w:w="115" w:type="dxa"/>
            </w:tcMar>
            <w:vAlign w:val="top"/>
          </w:tcPr>
          <w:p>
            <w:pPr>
              <w:rPr>
                <w:rFonts w:hint="eastAsia" w:ascii="仿宋" w:hAnsi="仿宋" w:eastAsia="仿宋" w:cs="仿宋"/>
                <w:sz w:val="28"/>
                <w:szCs w:val="28"/>
              </w:rPr>
            </w:pPr>
            <w:r>
              <w:rPr>
                <w:rFonts w:hint="eastAsia" w:ascii="仿宋" w:hAnsi="仿宋" w:eastAsia="仿宋" w:cs="仿宋"/>
                <w:sz w:val="28"/>
                <w:szCs w:val="28"/>
              </w:rPr>
              <w:t>-</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810" w:type="dxa"/>
            <w:vMerge w:val="continue"/>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p>
        </w:tc>
        <w:tc>
          <w:tcPr>
            <w:tcW w:w="963" w:type="dxa"/>
            <w:vMerge w:val="continue"/>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p>
        </w:tc>
        <w:tc>
          <w:tcPr>
            <w:tcW w:w="1298"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5.属于三类内部事务信息</w:t>
            </w:r>
          </w:p>
        </w:tc>
        <w:tc>
          <w:tcPr>
            <w:tcW w:w="543"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c>
          <w:tcPr>
            <w:tcW w:w="1027"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810" w:type="dxa"/>
            <w:vMerge w:val="continue"/>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p>
        </w:tc>
        <w:tc>
          <w:tcPr>
            <w:tcW w:w="963" w:type="dxa"/>
            <w:vMerge w:val="continue"/>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p>
        </w:tc>
        <w:tc>
          <w:tcPr>
            <w:tcW w:w="1298"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6.属于四类过程性信息</w:t>
            </w:r>
          </w:p>
        </w:tc>
        <w:tc>
          <w:tcPr>
            <w:tcW w:w="543"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c>
          <w:tcPr>
            <w:tcW w:w="1027"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810" w:type="dxa"/>
            <w:vMerge w:val="continue"/>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p>
        </w:tc>
        <w:tc>
          <w:tcPr>
            <w:tcW w:w="963" w:type="dxa"/>
            <w:vMerge w:val="continue"/>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p>
        </w:tc>
        <w:tc>
          <w:tcPr>
            <w:tcW w:w="1298"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7.属于行政执法案卷</w:t>
            </w:r>
          </w:p>
        </w:tc>
        <w:tc>
          <w:tcPr>
            <w:tcW w:w="543"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c>
          <w:tcPr>
            <w:tcW w:w="1027"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810" w:type="dxa"/>
            <w:vMerge w:val="continue"/>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p>
        </w:tc>
        <w:tc>
          <w:tcPr>
            <w:tcW w:w="963" w:type="dxa"/>
            <w:vMerge w:val="continue"/>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p>
        </w:tc>
        <w:tc>
          <w:tcPr>
            <w:tcW w:w="1298"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8.属于行政查询事项</w:t>
            </w:r>
          </w:p>
        </w:tc>
        <w:tc>
          <w:tcPr>
            <w:tcW w:w="543"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c>
          <w:tcPr>
            <w:tcW w:w="1027"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810" w:type="dxa"/>
            <w:vMerge w:val="continue"/>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p>
        </w:tc>
        <w:tc>
          <w:tcPr>
            <w:tcW w:w="963" w:type="dxa"/>
            <w:vMerge w:val="restart"/>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（四）无法提供</w:t>
            </w:r>
          </w:p>
        </w:tc>
        <w:tc>
          <w:tcPr>
            <w:tcW w:w="1298"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1.本机关不掌握相关政府信息</w:t>
            </w:r>
          </w:p>
        </w:tc>
        <w:tc>
          <w:tcPr>
            <w:tcW w:w="543"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　-</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　-</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　</w:t>
            </w:r>
          </w:p>
        </w:tc>
        <w:tc>
          <w:tcPr>
            <w:tcW w:w="1027"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810" w:type="dxa"/>
            <w:vMerge w:val="continue"/>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p>
        </w:tc>
        <w:tc>
          <w:tcPr>
            <w:tcW w:w="963" w:type="dxa"/>
            <w:vMerge w:val="continue"/>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p>
        </w:tc>
        <w:tc>
          <w:tcPr>
            <w:tcW w:w="1298"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2.没有现成信息需要另行制作</w:t>
            </w:r>
          </w:p>
        </w:tc>
        <w:tc>
          <w:tcPr>
            <w:tcW w:w="543"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c>
          <w:tcPr>
            <w:tcW w:w="1027"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810" w:type="dxa"/>
            <w:vMerge w:val="continue"/>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p>
        </w:tc>
        <w:tc>
          <w:tcPr>
            <w:tcW w:w="963" w:type="dxa"/>
            <w:vMerge w:val="continue"/>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p>
        </w:tc>
        <w:tc>
          <w:tcPr>
            <w:tcW w:w="1298"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3.补正后申请内容仍不明确</w:t>
            </w:r>
          </w:p>
        </w:tc>
        <w:tc>
          <w:tcPr>
            <w:tcW w:w="543"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　</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　</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c>
          <w:tcPr>
            <w:tcW w:w="1027"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810" w:type="dxa"/>
            <w:vMerge w:val="continue"/>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p>
        </w:tc>
        <w:tc>
          <w:tcPr>
            <w:tcW w:w="963" w:type="dxa"/>
            <w:vMerge w:val="restart"/>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（五）不予处理</w:t>
            </w:r>
          </w:p>
        </w:tc>
        <w:tc>
          <w:tcPr>
            <w:tcW w:w="1298"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1.信访举报投诉类申请</w:t>
            </w:r>
          </w:p>
        </w:tc>
        <w:tc>
          <w:tcPr>
            <w:tcW w:w="543"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c>
          <w:tcPr>
            <w:tcW w:w="1027"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810" w:type="dxa"/>
            <w:vMerge w:val="continue"/>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p>
        </w:tc>
        <w:tc>
          <w:tcPr>
            <w:tcW w:w="963" w:type="dxa"/>
            <w:vMerge w:val="continue"/>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p>
        </w:tc>
        <w:tc>
          <w:tcPr>
            <w:tcW w:w="1298"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2.重复申请</w:t>
            </w:r>
          </w:p>
        </w:tc>
        <w:tc>
          <w:tcPr>
            <w:tcW w:w="543"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　</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　</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　</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　</w:t>
            </w:r>
          </w:p>
        </w:tc>
        <w:tc>
          <w:tcPr>
            <w:tcW w:w="1027"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　</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810" w:type="dxa"/>
            <w:vMerge w:val="continue"/>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p>
        </w:tc>
        <w:tc>
          <w:tcPr>
            <w:tcW w:w="963" w:type="dxa"/>
            <w:vMerge w:val="continue"/>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p>
        </w:tc>
        <w:tc>
          <w:tcPr>
            <w:tcW w:w="1298"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3.要求提供公开出版物</w:t>
            </w:r>
          </w:p>
        </w:tc>
        <w:tc>
          <w:tcPr>
            <w:tcW w:w="543"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　-</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c>
          <w:tcPr>
            <w:tcW w:w="1027"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　</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tblCellMar>
            <w:top w:w="0" w:type="dxa"/>
            <w:left w:w="0" w:type="dxa"/>
            <w:bottom w:w="0" w:type="dxa"/>
            <w:right w:w="0" w:type="dxa"/>
          </w:tblCellMar>
        </w:tblPrEx>
        <w:trPr>
          <w:jc w:val="center"/>
        </w:trPr>
        <w:tc>
          <w:tcPr>
            <w:tcW w:w="810" w:type="dxa"/>
            <w:vMerge w:val="continue"/>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p>
        </w:tc>
        <w:tc>
          <w:tcPr>
            <w:tcW w:w="963" w:type="dxa"/>
            <w:vMerge w:val="continue"/>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p>
        </w:tc>
        <w:tc>
          <w:tcPr>
            <w:tcW w:w="1298"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4.无正当理由大量反复申请</w:t>
            </w:r>
          </w:p>
        </w:tc>
        <w:tc>
          <w:tcPr>
            <w:tcW w:w="543"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　-</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　-</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　</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　</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　-</w:t>
            </w:r>
          </w:p>
        </w:tc>
        <w:tc>
          <w:tcPr>
            <w:tcW w:w="1027"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　-</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　</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tblCellMar>
            <w:top w:w="0" w:type="dxa"/>
            <w:left w:w="0" w:type="dxa"/>
            <w:bottom w:w="0" w:type="dxa"/>
            <w:right w:w="0" w:type="dxa"/>
          </w:tblCellMar>
        </w:tblPrEx>
        <w:trPr>
          <w:jc w:val="center"/>
        </w:trPr>
        <w:tc>
          <w:tcPr>
            <w:tcW w:w="810" w:type="dxa"/>
            <w:vMerge w:val="continue"/>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p>
        </w:tc>
        <w:tc>
          <w:tcPr>
            <w:tcW w:w="963" w:type="dxa"/>
            <w:vMerge w:val="continue"/>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p>
        </w:tc>
        <w:tc>
          <w:tcPr>
            <w:tcW w:w="1298"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5.要求行政机关确认或重新出具已获取信息</w:t>
            </w:r>
          </w:p>
        </w:tc>
        <w:tc>
          <w:tcPr>
            <w:tcW w:w="543"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　-</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　-</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　-</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　-</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　-</w:t>
            </w:r>
          </w:p>
        </w:tc>
        <w:tc>
          <w:tcPr>
            <w:tcW w:w="1027"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　-</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　</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tblCellMar>
            <w:top w:w="0" w:type="dxa"/>
            <w:left w:w="0" w:type="dxa"/>
            <w:bottom w:w="0" w:type="dxa"/>
            <w:right w:w="0" w:type="dxa"/>
          </w:tblCellMar>
        </w:tblPrEx>
        <w:trPr>
          <w:jc w:val="center"/>
        </w:trPr>
        <w:tc>
          <w:tcPr>
            <w:tcW w:w="810" w:type="dxa"/>
            <w:vMerge w:val="continue"/>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p>
        </w:tc>
        <w:tc>
          <w:tcPr>
            <w:tcW w:w="963" w:type="dxa"/>
            <w:vMerge w:val="restart"/>
            <w:tcBorders>
              <w:top w:val="single" w:color="auto" w:sz="6" w:space="0"/>
              <w:left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（六）其他处理</w:t>
            </w:r>
          </w:p>
        </w:tc>
        <w:tc>
          <w:tcPr>
            <w:tcW w:w="1298" w:type="dxa"/>
            <w:tcBorders>
              <w:top w:val="single" w:color="auto" w:sz="6" w:space="0"/>
              <w:left w:val="single" w:color="auto" w:sz="6" w:space="0"/>
              <w:right w:val="nil"/>
            </w:tcBorders>
            <w:shd w:val="clear" w:color="auto" w:fill="auto"/>
            <w:tcMar>
              <w:left w:w="115" w:type="dxa"/>
            </w:tcMar>
            <w:vAlign w:val="center"/>
          </w:tcPr>
          <w:p>
            <w:pP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1.申请人无正当理由逾期不补正、行政机关不再处理其政府信息申请</w:t>
            </w:r>
          </w:p>
        </w:tc>
        <w:tc>
          <w:tcPr>
            <w:tcW w:w="543"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c>
          <w:tcPr>
            <w:tcW w:w="1027"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tblCellMar>
            <w:top w:w="0" w:type="dxa"/>
            <w:left w:w="0" w:type="dxa"/>
            <w:bottom w:w="0" w:type="dxa"/>
            <w:right w:w="0" w:type="dxa"/>
          </w:tblCellMar>
        </w:tblPrEx>
        <w:trPr>
          <w:jc w:val="center"/>
        </w:trPr>
        <w:tc>
          <w:tcPr>
            <w:tcW w:w="810" w:type="dxa"/>
            <w:vMerge w:val="continue"/>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p>
        </w:tc>
        <w:tc>
          <w:tcPr>
            <w:tcW w:w="963" w:type="dxa"/>
            <w:vMerge w:val="continue"/>
            <w:tcBorders>
              <w:left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p>
        </w:tc>
        <w:tc>
          <w:tcPr>
            <w:tcW w:w="1298" w:type="dxa"/>
            <w:tcBorders>
              <w:left w:val="single" w:color="auto" w:sz="6" w:space="0"/>
              <w:right w:val="nil"/>
            </w:tcBorders>
            <w:shd w:val="clear" w:color="auto" w:fill="auto"/>
            <w:tcMar>
              <w:left w:w="115" w:type="dxa"/>
            </w:tcMar>
            <w:vAlign w:val="center"/>
          </w:tcPr>
          <w:p>
            <w:pP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2.申请人逾期未按收费通知要求缴纳费用、行政机关不再处理其政府信息公开申请</w:t>
            </w:r>
          </w:p>
        </w:tc>
        <w:tc>
          <w:tcPr>
            <w:tcW w:w="543"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lang w:val="en-US" w:eastAsia="zh-CN"/>
              </w:rPr>
            </w:pP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lang w:val="en-US" w:eastAsia="zh-CN"/>
              </w:rPr>
            </w:pP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p>
        </w:tc>
        <w:tc>
          <w:tcPr>
            <w:tcW w:w="1027"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lang w:val="en-US" w:eastAsia="zh-CN"/>
              </w:rPr>
            </w:pP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rPr>
                <w:rFonts w:hint="eastAsia" w:ascii="仿宋" w:hAnsi="仿宋" w:eastAsia="仿宋" w:cs="仿宋"/>
                <w:sz w:val="28"/>
                <w:szCs w:val="28"/>
                <w:lang w:val="en-US" w:eastAsia="zh-CN"/>
              </w:rPr>
            </w:pP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tblCellMar>
            <w:top w:w="0" w:type="dxa"/>
            <w:left w:w="0" w:type="dxa"/>
            <w:bottom w:w="0" w:type="dxa"/>
            <w:right w:w="0" w:type="dxa"/>
          </w:tblCellMar>
        </w:tblPrEx>
        <w:trPr>
          <w:jc w:val="center"/>
        </w:trPr>
        <w:tc>
          <w:tcPr>
            <w:tcW w:w="810" w:type="dxa"/>
            <w:vMerge w:val="continue"/>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p>
        </w:tc>
        <w:tc>
          <w:tcPr>
            <w:tcW w:w="963" w:type="dxa"/>
            <w:vMerge w:val="continue"/>
            <w:tcBorders>
              <w:left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p>
        </w:tc>
        <w:tc>
          <w:tcPr>
            <w:tcW w:w="1298" w:type="dxa"/>
            <w:tcBorders>
              <w:left w:val="single" w:color="auto" w:sz="6" w:space="0"/>
              <w:right w:val="nil"/>
            </w:tcBorders>
            <w:shd w:val="clear" w:color="auto" w:fill="auto"/>
            <w:tcMar>
              <w:left w:w="115" w:type="dxa"/>
            </w:tcMar>
            <w:vAlign w:val="center"/>
          </w:tcPr>
          <w:p>
            <w:pP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3.其他</w:t>
            </w:r>
          </w:p>
        </w:tc>
        <w:tc>
          <w:tcPr>
            <w:tcW w:w="543"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lang w:val="en-US" w:eastAsia="zh-CN"/>
              </w:rPr>
            </w:pP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lang w:val="en-US" w:eastAsia="zh-CN"/>
              </w:rPr>
            </w:pP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p>
        </w:tc>
        <w:tc>
          <w:tcPr>
            <w:tcW w:w="1027"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lang w:val="en-US" w:eastAsia="zh-CN"/>
              </w:rPr>
            </w:pP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rPr>
                <w:rFonts w:hint="eastAsia" w:ascii="仿宋" w:hAnsi="仿宋" w:eastAsia="仿宋" w:cs="仿宋"/>
                <w:sz w:val="28"/>
                <w:szCs w:val="28"/>
                <w:lang w:val="en-US" w:eastAsia="zh-CN"/>
              </w:rPr>
            </w:pP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tblCellMar>
            <w:top w:w="0" w:type="dxa"/>
            <w:left w:w="0" w:type="dxa"/>
            <w:bottom w:w="0" w:type="dxa"/>
            <w:right w:w="0" w:type="dxa"/>
          </w:tblCellMar>
        </w:tblPrEx>
        <w:trPr>
          <w:jc w:val="center"/>
        </w:trPr>
        <w:tc>
          <w:tcPr>
            <w:tcW w:w="810" w:type="dxa"/>
            <w:vMerge w:val="continue"/>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p>
        </w:tc>
        <w:tc>
          <w:tcPr>
            <w:tcW w:w="2261" w:type="dxa"/>
            <w:gridSpan w:val="2"/>
            <w:tcBorders>
              <w:top w:val="single" w:color="auto" w:sz="6" w:space="0"/>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（七）总计</w:t>
            </w:r>
          </w:p>
        </w:tc>
        <w:tc>
          <w:tcPr>
            <w:tcW w:w="543" w:type="dxa"/>
            <w:tcBorders>
              <w:top w:val="nil"/>
              <w:left w:val="single" w:color="auto" w:sz="6" w:space="0"/>
              <w:bottom w:val="single" w:color="auto" w:sz="6" w:space="0"/>
              <w:right w:val="nil"/>
            </w:tcBorders>
            <w:shd w:val="clear" w:color="auto" w:fill="auto"/>
            <w:tcMar>
              <w:left w:w="115" w:type="dxa"/>
            </w:tcMar>
            <w:vAlign w:val="center"/>
          </w:tcPr>
          <w:p>
            <w:pP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lang w:val="en-US" w:eastAsia="zh-CN"/>
              </w:rPr>
              <w:t>-</w:t>
            </w:r>
          </w:p>
        </w:tc>
        <w:tc>
          <w:tcPr>
            <w:tcW w:w="1027"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tblCellMar>
            <w:top w:w="0" w:type="dxa"/>
            <w:left w:w="0" w:type="dxa"/>
            <w:bottom w:w="0" w:type="dxa"/>
            <w:right w:w="0" w:type="dxa"/>
          </w:tblCellMar>
        </w:tblPrEx>
        <w:trPr>
          <w:trHeight w:val="286" w:hRule="atLeast"/>
          <w:jc w:val="center"/>
        </w:trPr>
        <w:tc>
          <w:tcPr>
            <w:tcW w:w="3071" w:type="dxa"/>
            <w:gridSpan w:val="3"/>
            <w:tcBorders>
              <w:top w:val="single" w:color="auto" w:sz="6" w:space="0"/>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四、结转下年度继续办理</w:t>
            </w:r>
          </w:p>
        </w:tc>
        <w:tc>
          <w:tcPr>
            <w:tcW w:w="543"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　-</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　-</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　-</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　-</w:t>
            </w:r>
          </w:p>
        </w:tc>
        <w:tc>
          <w:tcPr>
            <w:tcW w:w="1027"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　-</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w:t>
            </w:r>
          </w:p>
        </w:tc>
      </w:tr>
    </w:tbl>
    <w:p>
      <w:pPr>
        <w:rPr>
          <w:rFonts w:hint="eastAsia" w:ascii="仿宋" w:hAnsi="仿宋" w:eastAsia="仿宋" w:cs="仿宋"/>
          <w:sz w:val="28"/>
          <w:szCs w:val="28"/>
        </w:rPr>
      </w:pPr>
    </w:p>
    <w:p>
      <w:pPr>
        <w:rPr>
          <w:rFonts w:hint="eastAsia" w:ascii="仿宋" w:hAnsi="仿宋" w:eastAsia="仿宋" w:cs="仿宋"/>
          <w:b/>
          <w:bCs/>
          <w:sz w:val="28"/>
          <w:szCs w:val="28"/>
        </w:rPr>
      </w:pPr>
      <w:r>
        <w:rPr>
          <w:rFonts w:hint="eastAsia" w:ascii="仿宋" w:hAnsi="仿宋" w:eastAsia="仿宋" w:cs="仿宋"/>
          <w:b/>
          <w:bCs/>
          <w:sz w:val="28"/>
          <w:szCs w:val="28"/>
        </w:rPr>
        <w:t>四、政府信息公开行政复议、行政诉讼情况</w:t>
      </w:r>
    </w:p>
    <w:tbl>
      <w:tblPr>
        <w:tblStyle w:val="4"/>
        <w:tblW w:w="9030" w:type="dxa"/>
        <w:jc w:val="center"/>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411"/>
        <w:gridCol w:w="411"/>
        <w:gridCol w:w="412"/>
        <w:gridCol w:w="412"/>
        <w:gridCol w:w="1327"/>
        <w:gridCol w:w="412"/>
        <w:gridCol w:w="412"/>
        <w:gridCol w:w="412"/>
        <w:gridCol w:w="412"/>
        <w:gridCol w:w="1266"/>
        <w:gridCol w:w="412"/>
        <w:gridCol w:w="412"/>
        <w:gridCol w:w="412"/>
        <w:gridCol w:w="412"/>
        <w:gridCol w:w="1495"/>
      </w:tblGrid>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360" w:hRule="atLeast"/>
          <w:jc w:val="center"/>
        </w:trPr>
        <w:tc>
          <w:tcPr>
            <w:tcW w:w="2850" w:type="dxa"/>
            <w:gridSpan w:val="5"/>
            <w:tcBorders>
              <w:top w:val="single" w:color="auto" w:sz="8" w:space="0"/>
              <w:left w:val="single" w:color="auto" w:sz="8" w:space="0"/>
              <w:bottom w:val="single" w:color="auto" w:sz="8" w:space="0"/>
              <w:right w:val="nil"/>
            </w:tcBorders>
            <w:shd w:val="clear" w:color="auto" w:fill="auto"/>
            <w:tcMar>
              <w:left w:w="115" w:type="dxa"/>
            </w:tcMar>
            <w:vAlign w:val="center"/>
          </w:tcPr>
          <w:p>
            <w:pPr>
              <w:ind w:firstLine="560" w:firstLineChars="200"/>
              <w:rPr>
                <w:rFonts w:hint="eastAsia" w:ascii="仿宋" w:hAnsi="仿宋" w:eastAsia="仿宋" w:cs="仿宋"/>
                <w:sz w:val="28"/>
                <w:szCs w:val="28"/>
              </w:rPr>
            </w:pPr>
            <w:r>
              <w:rPr>
                <w:rFonts w:hint="eastAsia" w:ascii="仿宋" w:hAnsi="仿宋" w:eastAsia="仿宋" w:cs="仿宋"/>
                <w:sz w:val="28"/>
                <w:szCs w:val="28"/>
              </w:rPr>
              <w:t>行政复议</w:t>
            </w:r>
          </w:p>
        </w:tc>
        <w:tc>
          <w:tcPr>
            <w:tcW w:w="5790" w:type="dxa"/>
            <w:gridSpan w:val="10"/>
            <w:tcBorders>
              <w:top w:val="single" w:color="000000" w:sz="8" w:space="0"/>
              <w:left w:val="single" w:color="000000" w:sz="8" w:space="0"/>
              <w:bottom w:val="single" w:color="000000" w:sz="8" w:space="0"/>
              <w:right w:val="single" w:color="000000" w:sz="8" w:space="0"/>
            </w:tcBorders>
            <w:shd w:val="clear" w:color="auto" w:fill="auto"/>
            <w:tcMar>
              <w:left w:w="115" w:type="dxa"/>
              <w:right w:w="115" w:type="dxa"/>
            </w:tcMar>
            <w:vAlign w:val="center"/>
          </w:tcPr>
          <w:p>
            <w:pPr>
              <w:ind w:firstLine="1960" w:firstLineChars="700"/>
              <w:rPr>
                <w:rFonts w:hint="eastAsia" w:ascii="仿宋" w:hAnsi="仿宋" w:eastAsia="仿宋" w:cs="仿宋"/>
                <w:sz w:val="28"/>
                <w:szCs w:val="28"/>
              </w:rPr>
            </w:pPr>
            <w:r>
              <w:rPr>
                <w:rFonts w:hint="eastAsia" w:ascii="仿宋" w:hAnsi="仿宋" w:eastAsia="仿宋" w:cs="仿宋"/>
                <w:sz w:val="28"/>
                <w:szCs w:val="28"/>
              </w:rPr>
              <w:t>行政诉讼</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tblCellMar>
            <w:top w:w="0" w:type="dxa"/>
            <w:left w:w="0" w:type="dxa"/>
            <w:bottom w:w="0" w:type="dxa"/>
            <w:right w:w="0" w:type="dxa"/>
          </w:tblCellMar>
        </w:tblPrEx>
        <w:trPr>
          <w:jc w:val="center"/>
        </w:trPr>
        <w:tc>
          <w:tcPr>
            <w:tcW w:w="375" w:type="dxa"/>
            <w:vMerge w:val="restart"/>
            <w:tcBorders>
              <w:top w:val="nil"/>
              <w:left w:val="single" w:color="auto" w:sz="8" w:space="0"/>
              <w:bottom w:val="single" w:color="auto" w:sz="8"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结果维持</w:t>
            </w:r>
          </w:p>
        </w:tc>
        <w:tc>
          <w:tcPr>
            <w:tcW w:w="390" w:type="dxa"/>
            <w:vMerge w:val="restart"/>
            <w:tcBorders>
              <w:top w:val="nil"/>
              <w:left w:val="single" w:color="auto" w:sz="8" w:space="0"/>
              <w:bottom w:val="single" w:color="auto" w:sz="8"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结果纠正</w:t>
            </w:r>
          </w:p>
        </w:tc>
        <w:tc>
          <w:tcPr>
            <w:tcW w:w="390" w:type="dxa"/>
            <w:vMerge w:val="restart"/>
            <w:tcBorders>
              <w:top w:val="single" w:color="auto" w:sz="8" w:space="0"/>
              <w:left w:val="single" w:color="auto" w:sz="8" w:space="0"/>
              <w:bottom w:val="single" w:color="auto" w:sz="8"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其他结果</w:t>
            </w:r>
          </w:p>
        </w:tc>
        <w:tc>
          <w:tcPr>
            <w:tcW w:w="390" w:type="dxa"/>
            <w:vMerge w:val="restart"/>
            <w:tcBorders>
              <w:top w:val="single" w:color="auto" w:sz="8" w:space="0"/>
              <w:left w:val="single" w:color="auto" w:sz="8" w:space="0"/>
              <w:bottom w:val="single" w:color="auto" w:sz="8"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尚未审结</w:t>
            </w:r>
          </w:p>
        </w:tc>
        <w:tc>
          <w:tcPr>
            <w:tcW w:w="450" w:type="dxa"/>
            <w:vMerge w:val="restart"/>
            <w:tcBorders>
              <w:top w:val="single" w:color="auto" w:sz="8" w:space="0"/>
              <w:left w:val="single" w:color="auto" w:sz="8" w:space="0"/>
              <w:bottom w:val="single" w:color="auto" w:sz="8"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总计</w:t>
            </w:r>
          </w:p>
        </w:tc>
        <w:tc>
          <w:tcPr>
            <w:tcW w:w="2760" w:type="dxa"/>
            <w:gridSpan w:val="5"/>
            <w:tcBorders>
              <w:top w:val="single" w:color="auto" w:sz="8" w:space="0"/>
              <w:left w:val="single" w:color="auto" w:sz="8" w:space="0"/>
              <w:bottom w:val="single" w:color="auto" w:sz="8" w:space="0"/>
              <w:right w:val="nil"/>
            </w:tcBorders>
            <w:shd w:val="clear" w:color="auto" w:fill="auto"/>
            <w:tcMar>
              <w:left w:w="115" w:type="dxa"/>
            </w:tcMar>
            <w:vAlign w:val="bottom"/>
          </w:tcPr>
          <w:p>
            <w:pPr>
              <w:rPr>
                <w:rFonts w:hint="eastAsia" w:ascii="仿宋" w:hAnsi="仿宋" w:eastAsia="仿宋" w:cs="仿宋"/>
                <w:sz w:val="28"/>
                <w:szCs w:val="28"/>
              </w:rPr>
            </w:pPr>
            <w:r>
              <w:rPr>
                <w:rFonts w:hint="eastAsia" w:ascii="仿宋" w:hAnsi="仿宋" w:eastAsia="仿宋" w:cs="仿宋"/>
                <w:sz w:val="28"/>
                <w:szCs w:val="28"/>
              </w:rPr>
              <w:t>未经复议直接起诉</w:t>
            </w:r>
          </w:p>
        </w:tc>
        <w:tc>
          <w:tcPr>
            <w:tcW w:w="2820" w:type="dxa"/>
            <w:gridSpan w:val="5"/>
            <w:tcBorders>
              <w:top w:val="single" w:color="000000" w:sz="8" w:space="0"/>
              <w:left w:val="single" w:color="000000" w:sz="8" w:space="0"/>
              <w:bottom w:val="single" w:color="000000" w:sz="8" w:space="0"/>
              <w:right w:val="single" w:color="000000" w:sz="8" w:space="0"/>
            </w:tcBorders>
            <w:shd w:val="clear" w:color="auto" w:fill="auto"/>
            <w:tcMar>
              <w:left w:w="115" w:type="dxa"/>
              <w:right w:w="115" w:type="dxa"/>
            </w:tcMar>
            <w:vAlign w:val="bottom"/>
          </w:tcPr>
          <w:p>
            <w:pPr>
              <w:rPr>
                <w:rFonts w:hint="eastAsia" w:ascii="仿宋" w:hAnsi="仿宋" w:eastAsia="仿宋" w:cs="仿宋"/>
                <w:sz w:val="28"/>
                <w:szCs w:val="28"/>
              </w:rPr>
            </w:pPr>
            <w:r>
              <w:rPr>
                <w:rFonts w:hint="eastAsia" w:ascii="仿宋" w:hAnsi="仿宋" w:eastAsia="仿宋" w:cs="仿宋"/>
                <w:sz w:val="28"/>
                <w:szCs w:val="28"/>
              </w:rPr>
              <w:t>复议后起诉</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tblCellMar>
            <w:top w:w="0" w:type="dxa"/>
            <w:left w:w="0" w:type="dxa"/>
            <w:bottom w:w="0" w:type="dxa"/>
            <w:right w:w="0" w:type="dxa"/>
          </w:tblCellMar>
        </w:tblPrEx>
        <w:trPr>
          <w:jc w:val="center"/>
        </w:trPr>
        <w:tc>
          <w:tcPr>
            <w:tcW w:w="375" w:type="dxa"/>
            <w:vMerge w:val="continue"/>
            <w:tcBorders>
              <w:top w:val="nil"/>
              <w:left w:val="single" w:color="auto" w:sz="8" w:space="0"/>
              <w:bottom w:val="single" w:color="auto" w:sz="8" w:space="0"/>
              <w:right w:val="nil"/>
            </w:tcBorders>
            <w:shd w:val="clear" w:color="auto" w:fill="auto"/>
            <w:tcMar>
              <w:left w:w="115" w:type="dxa"/>
            </w:tcMar>
            <w:vAlign w:val="center"/>
          </w:tcPr>
          <w:p>
            <w:pPr>
              <w:rPr>
                <w:rFonts w:hint="eastAsia" w:ascii="仿宋" w:hAnsi="仿宋" w:eastAsia="仿宋" w:cs="仿宋"/>
                <w:sz w:val="28"/>
                <w:szCs w:val="28"/>
              </w:rPr>
            </w:pPr>
          </w:p>
        </w:tc>
        <w:tc>
          <w:tcPr>
            <w:tcW w:w="390" w:type="dxa"/>
            <w:vMerge w:val="continue"/>
            <w:tcBorders>
              <w:top w:val="nil"/>
              <w:left w:val="single" w:color="auto" w:sz="8" w:space="0"/>
              <w:bottom w:val="single" w:color="auto" w:sz="8" w:space="0"/>
              <w:right w:val="nil"/>
            </w:tcBorders>
            <w:shd w:val="clear" w:color="auto" w:fill="auto"/>
            <w:tcMar>
              <w:left w:w="115" w:type="dxa"/>
            </w:tcMar>
            <w:vAlign w:val="center"/>
          </w:tcPr>
          <w:p>
            <w:pPr>
              <w:rPr>
                <w:rFonts w:hint="eastAsia" w:ascii="仿宋" w:hAnsi="仿宋" w:eastAsia="仿宋" w:cs="仿宋"/>
                <w:sz w:val="28"/>
                <w:szCs w:val="28"/>
              </w:rPr>
            </w:pPr>
          </w:p>
        </w:tc>
        <w:tc>
          <w:tcPr>
            <w:tcW w:w="390" w:type="dxa"/>
            <w:vMerge w:val="continue"/>
            <w:tcBorders>
              <w:top w:val="single" w:color="auto" w:sz="8" w:space="0"/>
              <w:left w:val="single" w:color="auto" w:sz="8" w:space="0"/>
              <w:bottom w:val="single" w:color="auto" w:sz="8" w:space="0"/>
              <w:right w:val="nil"/>
            </w:tcBorders>
            <w:shd w:val="clear" w:color="auto" w:fill="auto"/>
            <w:tcMar>
              <w:left w:w="115" w:type="dxa"/>
            </w:tcMar>
            <w:vAlign w:val="center"/>
          </w:tcPr>
          <w:p>
            <w:pPr>
              <w:rPr>
                <w:rFonts w:hint="eastAsia" w:ascii="仿宋" w:hAnsi="仿宋" w:eastAsia="仿宋" w:cs="仿宋"/>
                <w:sz w:val="28"/>
                <w:szCs w:val="28"/>
              </w:rPr>
            </w:pPr>
          </w:p>
        </w:tc>
        <w:tc>
          <w:tcPr>
            <w:tcW w:w="390" w:type="dxa"/>
            <w:vMerge w:val="continue"/>
            <w:tcBorders>
              <w:top w:val="single" w:color="auto" w:sz="8" w:space="0"/>
              <w:left w:val="single" w:color="auto" w:sz="8" w:space="0"/>
              <w:bottom w:val="single" w:color="auto" w:sz="8" w:space="0"/>
              <w:right w:val="nil"/>
            </w:tcBorders>
            <w:shd w:val="clear" w:color="auto" w:fill="auto"/>
            <w:tcMar>
              <w:left w:w="115" w:type="dxa"/>
            </w:tcMar>
            <w:vAlign w:val="center"/>
          </w:tcPr>
          <w:p>
            <w:pPr>
              <w:rPr>
                <w:rFonts w:hint="eastAsia" w:ascii="仿宋" w:hAnsi="仿宋" w:eastAsia="仿宋" w:cs="仿宋"/>
                <w:sz w:val="28"/>
                <w:szCs w:val="28"/>
              </w:rPr>
            </w:pPr>
          </w:p>
        </w:tc>
        <w:tc>
          <w:tcPr>
            <w:tcW w:w="450" w:type="dxa"/>
            <w:vMerge w:val="continue"/>
            <w:tcBorders>
              <w:top w:val="single" w:color="auto" w:sz="8" w:space="0"/>
              <w:left w:val="single" w:color="auto" w:sz="8" w:space="0"/>
              <w:bottom w:val="single" w:color="auto" w:sz="8" w:space="0"/>
              <w:right w:val="nil"/>
            </w:tcBorders>
            <w:shd w:val="clear" w:color="auto" w:fill="auto"/>
            <w:tcMar>
              <w:left w:w="115" w:type="dxa"/>
            </w:tcMar>
            <w:vAlign w:val="center"/>
          </w:tcPr>
          <w:p>
            <w:pPr>
              <w:rPr>
                <w:rFonts w:hint="eastAsia" w:ascii="仿宋" w:hAnsi="仿宋" w:eastAsia="仿宋" w:cs="仿宋"/>
                <w:sz w:val="28"/>
                <w:szCs w:val="28"/>
              </w:rPr>
            </w:pPr>
          </w:p>
        </w:tc>
        <w:tc>
          <w:tcPr>
            <w:tcW w:w="345" w:type="dxa"/>
            <w:tcBorders>
              <w:top w:val="nil"/>
              <w:left w:val="single" w:color="auto" w:sz="8" w:space="0"/>
              <w:bottom w:val="single" w:color="auto" w:sz="8"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结果维持</w:t>
            </w:r>
          </w:p>
        </w:tc>
        <w:tc>
          <w:tcPr>
            <w:tcW w:w="390" w:type="dxa"/>
            <w:tcBorders>
              <w:top w:val="nil"/>
              <w:left w:val="single" w:color="auto" w:sz="8" w:space="0"/>
              <w:bottom w:val="single" w:color="auto" w:sz="8"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结果纠正</w:t>
            </w:r>
          </w:p>
        </w:tc>
        <w:tc>
          <w:tcPr>
            <w:tcW w:w="390" w:type="dxa"/>
            <w:tcBorders>
              <w:top w:val="single" w:color="auto" w:sz="8" w:space="0"/>
              <w:left w:val="single" w:color="auto" w:sz="8" w:space="0"/>
              <w:bottom w:val="single" w:color="auto" w:sz="8"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其他结果</w:t>
            </w:r>
          </w:p>
        </w:tc>
        <w:tc>
          <w:tcPr>
            <w:tcW w:w="390" w:type="dxa"/>
            <w:tcBorders>
              <w:top w:val="single" w:color="auto" w:sz="8" w:space="0"/>
              <w:left w:val="single" w:color="auto" w:sz="8" w:space="0"/>
              <w:bottom w:val="single" w:color="auto" w:sz="8"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尚未审结</w:t>
            </w:r>
          </w:p>
        </w:tc>
        <w:tc>
          <w:tcPr>
            <w:tcW w:w="390" w:type="dxa"/>
            <w:tcBorders>
              <w:top w:val="single" w:color="auto" w:sz="8" w:space="0"/>
              <w:left w:val="single" w:color="auto" w:sz="8" w:space="0"/>
              <w:bottom w:val="single" w:color="auto" w:sz="8"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总计</w:t>
            </w:r>
          </w:p>
        </w:tc>
        <w:tc>
          <w:tcPr>
            <w:tcW w:w="390" w:type="dxa"/>
            <w:tcBorders>
              <w:top w:val="single" w:color="auto" w:sz="8" w:space="0"/>
              <w:left w:val="single" w:color="auto" w:sz="8" w:space="0"/>
              <w:bottom w:val="single" w:color="auto" w:sz="8"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结果维持</w:t>
            </w:r>
          </w:p>
        </w:tc>
        <w:tc>
          <w:tcPr>
            <w:tcW w:w="390" w:type="dxa"/>
            <w:tcBorders>
              <w:top w:val="single" w:color="auto" w:sz="8" w:space="0"/>
              <w:left w:val="single" w:color="auto" w:sz="8" w:space="0"/>
              <w:bottom w:val="single" w:color="auto" w:sz="8"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结果纠正</w:t>
            </w:r>
          </w:p>
        </w:tc>
        <w:tc>
          <w:tcPr>
            <w:tcW w:w="390" w:type="dxa"/>
            <w:tcBorders>
              <w:top w:val="single" w:color="auto" w:sz="8" w:space="0"/>
              <w:left w:val="single" w:color="auto" w:sz="8" w:space="0"/>
              <w:bottom w:val="single" w:color="auto" w:sz="8"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其他结果</w:t>
            </w:r>
          </w:p>
        </w:tc>
        <w:tc>
          <w:tcPr>
            <w:tcW w:w="390" w:type="dxa"/>
            <w:tcBorders>
              <w:top w:val="single" w:color="auto" w:sz="8" w:space="0"/>
              <w:left w:val="single" w:color="auto" w:sz="8" w:space="0"/>
              <w:bottom w:val="single" w:color="auto" w:sz="8"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尚未审结</w:t>
            </w:r>
          </w:p>
        </w:tc>
        <w:tc>
          <w:tcPr>
            <w:tcW w:w="405" w:type="dxa"/>
            <w:tcBorders>
              <w:top w:val="single" w:color="000000" w:sz="8" w:space="0"/>
              <w:left w:val="single" w:color="000000" w:sz="8" w:space="0"/>
              <w:bottom w:val="single" w:color="000000" w:sz="8" w:space="0"/>
              <w:right w:val="single" w:color="000000" w:sz="8" w:space="0"/>
            </w:tcBorders>
            <w:shd w:val="clear" w:color="auto" w:fill="auto"/>
            <w:tcMar>
              <w:left w:w="115" w:type="dxa"/>
              <w:righ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总计</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tblCellMar>
            <w:top w:w="0" w:type="dxa"/>
            <w:left w:w="0" w:type="dxa"/>
            <w:bottom w:w="0" w:type="dxa"/>
            <w:right w:w="0" w:type="dxa"/>
          </w:tblCellMar>
        </w:tblPrEx>
        <w:trPr>
          <w:trHeight w:val="45" w:hRule="atLeast"/>
          <w:jc w:val="center"/>
        </w:trPr>
        <w:tc>
          <w:tcPr>
            <w:tcW w:w="375" w:type="dxa"/>
            <w:tcBorders>
              <w:top w:val="nil"/>
              <w:left w:val="single" w:color="auto" w:sz="8" w:space="0"/>
              <w:bottom w:val="single" w:color="auto" w:sz="8" w:space="0"/>
              <w:right w:val="nil"/>
            </w:tcBorders>
            <w:shd w:val="clear" w:color="auto" w:fill="auto"/>
            <w:tcMar>
              <w:left w:w="115" w:type="dxa"/>
            </w:tcMar>
            <w:vAlign w:val="center"/>
          </w:tcPr>
          <w:p>
            <w:pP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w:t>
            </w:r>
          </w:p>
        </w:tc>
        <w:tc>
          <w:tcPr>
            <w:tcW w:w="390" w:type="dxa"/>
            <w:tcBorders>
              <w:top w:val="nil"/>
              <w:left w:val="single" w:color="auto" w:sz="8" w:space="0"/>
              <w:bottom w:val="single" w:color="auto" w:sz="8"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c>
          <w:tcPr>
            <w:tcW w:w="390" w:type="dxa"/>
            <w:tcBorders>
              <w:top w:val="nil"/>
              <w:left w:val="single" w:color="auto" w:sz="8" w:space="0"/>
              <w:bottom w:val="single" w:color="auto" w:sz="8"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c>
          <w:tcPr>
            <w:tcW w:w="390" w:type="dxa"/>
            <w:tcBorders>
              <w:top w:val="nil"/>
              <w:left w:val="single" w:color="auto" w:sz="8" w:space="0"/>
              <w:bottom w:val="single" w:color="auto" w:sz="8"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c>
          <w:tcPr>
            <w:tcW w:w="450" w:type="dxa"/>
            <w:tcBorders>
              <w:top w:val="nil"/>
              <w:left w:val="single" w:color="auto" w:sz="8" w:space="0"/>
              <w:bottom w:val="single" w:color="auto" w:sz="8" w:space="0"/>
              <w:right w:val="nil"/>
            </w:tcBorders>
            <w:shd w:val="clear" w:color="auto" w:fill="auto"/>
            <w:tcMar>
              <w:left w:w="115" w:type="dxa"/>
            </w:tcMar>
            <w:vAlign w:val="center"/>
          </w:tcPr>
          <w:p>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w:t>
            </w:r>
          </w:p>
        </w:tc>
        <w:tc>
          <w:tcPr>
            <w:tcW w:w="345" w:type="dxa"/>
            <w:tcBorders>
              <w:top w:val="nil"/>
              <w:left w:val="single" w:color="auto" w:sz="8" w:space="0"/>
              <w:bottom w:val="single" w:color="auto" w:sz="8" w:space="0"/>
              <w:right w:val="nil"/>
            </w:tcBorders>
            <w:shd w:val="clear" w:color="auto" w:fill="auto"/>
            <w:tcMar>
              <w:left w:w="115" w:type="dxa"/>
            </w:tcMar>
            <w:vAlign w:val="center"/>
          </w:tcPr>
          <w:p>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w:t>
            </w:r>
          </w:p>
        </w:tc>
        <w:tc>
          <w:tcPr>
            <w:tcW w:w="390" w:type="dxa"/>
            <w:tcBorders>
              <w:top w:val="nil"/>
              <w:left w:val="single" w:color="auto" w:sz="8" w:space="0"/>
              <w:bottom w:val="single" w:color="auto" w:sz="8"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c>
          <w:tcPr>
            <w:tcW w:w="390" w:type="dxa"/>
            <w:tcBorders>
              <w:top w:val="nil"/>
              <w:left w:val="single" w:color="auto" w:sz="8" w:space="0"/>
              <w:bottom w:val="single" w:color="auto" w:sz="8"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c>
          <w:tcPr>
            <w:tcW w:w="390" w:type="dxa"/>
            <w:tcBorders>
              <w:top w:val="nil"/>
              <w:left w:val="single" w:color="auto" w:sz="8" w:space="0"/>
              <w:bottom w:val="single" w:color="auto" w:sz="8"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c>
          <w:tcPr>
            <w:tcW w:w="390" w:type="dxa"/>
            <w:tcBorders>
              <w:top w:val="nil"/>
              <w:left w:val="single" w:color="auto" w:sz="8" w:space="0"/>
              <w:bottom w:val="single" w:color="auto" w:sz="8" w:space="0"/>
              <w:right w:val="nil"/>
            </w:tcBorders>
            <w:shd w:val="clear" w:color="auto" w:fill="auto"/>
            <w:tcMar>
              <w:left w:w="115" w:type="dxa"/>
            </w:tcMar>
            <w:vAlign w:val="center"/>
          </w:tcPr>
          <w:p>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w:t>
            </w:r>
          </w:p>
        </w:tc>
        <w:tc>
          <w:tcPr>
            <w:tcW w:w="390" w:type="dxa"/>
            <w:tcBorders>
              <w:top w:val="nil"/>
              <w:left w:val="single" w:color="auto" w:sz="8" w:space="0"/>
              <w:bottom w:val="single" w:color="auto" w:sz="8"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c>
          <w:tcPr>
            <w:tcW w:w="390" w:type="dxa"/>
            <w:tcBorders>
              <w:top w:val="nil"/>
              <w:left w:val="single" w:color="auto" w:sz="8" w:space="0"/>
              <w:bottom w:val="single" w:color="auto" w:sz="8"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c>
          <w:tcPr>
            <w:tcW w:w="390" w:type="dxa"/>
            <w:tcBorders>
              <w:top w:val="nil"/>
              <w:left w:val="single" w:color="auto" w:sz="8" w:space="0"/>
              <w:bottom w:val="single" w:color="auto" w:sz="8"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c>
          <w:tcPr>
            <w:tcW w:w="390" w:type="dxa"/>
            <w:tcBorders>
              <w:top w:val="nil"/>
              <w:left w:val="single" w:color="auto" w:sz="8" w:space="0"/>
              <w:bottom w:val="single" w:color="auto" w:sz="8" w:space="0"/>
              <w:right w:val="nil"/>
            </w:tcBorders>
            <w:shd w:val="clear" w:color="auto" w:fill="auto"/>
            <w:tcMar>
              <w:lef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c>
          <w:tcPr>
            <w:tcW w:w="405" w:type="dxa"/>
            <w:tcBorders>
              <w:top w:val="nil"/>
              <w:left w:val="single" w:color="auto" w:sz="8" w:space="0"/>
              <w:bottom w:val="single" w:color="auto" w:sz="8" w:space="0"/>
              <w:right w:val="single" w:color="auto" w:sz="8" w:space="0"/>
            </w:tcBorders>
            <w:shd w:val="clear" w:color="auto" w:fill="auto"/>
            <w:tcMar>
              <w:left w:w="115" w:type="dxa"/>
              <w:right w:w="115" w:type="dxa"/>
            </w:tcMar>
            <w:vAlign w:val="center"/>
          </w:tcPr>
          <w:p>
            <w:pPr>
              <w:rPr>
                <w:rFonts w:hint="eastAsia" w:ascii="仿宋" w:hAnsi="仿宋" w:eastAsia="仿宋" w:cs="仿宋"/>
                <w:sz w:val="28"/>
                <w:szCs w:val="28"/>
              </w:rPr>
            </w:pPr>
            <w:r>
              <w:rPr>
                <w:rFonts w:hint="eastAsia" w:ascii="仿宋" w:hAnsi="仿宋" w:eastAsia="仿宋" w:cs="仿宋"/>
                <w:sz w:val="28"/>
                <w:szCs w:val="28"/>
              </w:rPr>
              <w:t>-</w:t>
            </w:r>
          </w:p>
        </w:tc>
      </w:tr>
    </w:tbl>
    <w:p>
      <w:pPr>
        <w:rPr>
          <w:rFonts w:hint="eastAsia" w:ascii="仿宋" w:hAnsi="仿宋" w:eastAsia="仿宋" w:cs="仿宋"/>
          <w:sz w:val="28"/>
          <w:szCs w:val="28"/>
        </w:rPr>
      </w:pPr>
    </w:p>
    <w:p>
      <w:pPr>
        <w:numPr>
          <w:ilvl w:val="0"/>
          <w:numId w:val="3"/>
        </w:numPr>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rPr>
        <w:t>存在的问题及改进情况</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2021年，我局在政府信息公开工作方面主要存在三个方面的问题：</w:t>
      </w:r>
      <w:r>
        <w:rPr>
          <w:rFonts w:hint="eastAsia" w:ascii="仿宋_GB2312" w:hAnsi="仿宋_GB2312" w:eastAsia="仿宋_GB2312" w:cs="仿宋_GB2312"/>
          <w:b/>
          <w:bCs/>
          <w:sz w:val="32"/>
          <w:szCs w:val="32"/>
          <w:lang w:val="en-US" w:eastAsia="zh-CN"/>
        </w:rPr>
        <w:t>一是</w:t>
      </w:r>
      <w:r>
        <w:rPr>
          <w:rFonts w:hint="eastAsia" w:ascii="仿宋_GB2312" w:hAnsi="仿宋_GB2312" w:eastAsia="仿宋_GB2312" w:cs="仿宋_GB2312"/>
          <w:sz w:val="32"/>
          <w:szCs w:val="32"/>
          <w:lang w:val="en-US" w:eastAsia="zh-CN"/>
        </w:rPr>
        <w:t>发文公开属性标识未全覆盖；</w:t>
      </w:r>
      <w:r>
        <w:rPr>
          <w:rFonts w:hint="eastAsia" w:ascii="仿宋_GB2312" w:hAnsi="仿宋_GB2312" w:eastAsia="仿宋_GB2312" w:cs="仿宋_GB2312"/>
          <w:b/>
          <w:bCs/>
          <w:sz w:val="32"/>
          <w:szCs w:val="32"/>
          <w:lang w:val="en-US" w:eastAsia="zh-CN"/>
        </w:rPr>
        <w:t>二是</w:t>
      </w:r>
      <w:r>
        <w:rPr>
          <w:rFonts w:hint="eastAsia" w:ascii="仿宋_GB2312" w:hAnsi="仿宋_GB2312" w:eastAsia="仿宋_GB2312" w:cs="仿宋_GB2312"/>
          <w:sz w:val="32"/>
          <w:szCs w:val="32"/>
          <w:lang w:val="en-US" w:eastAsia="zh-CN"/>
        </w:rPr>
        <w:t>信息公开不够及时；</w:t>
      </w:r>
      <w:r>
        <w:rPr>
          <w:rFonts w:hint="eastAsia" w:ascii="仿宋_GB2312" w:hAnsi="仿宋_GB2312" w:eastAsia="仿宋_GB2312" w:cs="仿宋_GB2312"/>
          <w:b/>
          <w:bCs/>
          <w:sz w:val="32"/>
          <w:szCs w:val="32"/>
          <w:lang w:val="en-US" w:eastAsia="zh-CN"/>
        </w:rPr>
        <w:t>三是</w:t>
      </w:r>
      <w:r>
        <w:rPr>
          <w:rFonts w:hint="eastAsia" w:ascii="仿宋_GB2312" w:hAnsi="仿宋_GB2312" w:eastAsia="仿宋_GB2312" w:cs="仿宋_GB2312"/>
          <w:sz w:val="32"/>
          <w:szCs w:val="32"/>
          <w:lang w:val="en-US" w:eastAsia="zh-CN"/>
        </w:rPr>
        <w:t>政务公开工作分工不细不实。针对政府网站与政务新媒体建设管理工作中存在的问题，水利局认真制定整改措施，主要以下三个方面入手，不断改进提升工作。</w:t>
      </w:r>
      <w:r>
        <w:rPr>
          <w:rFonts w:hint="eastAsia" w:ascii="仿宋_GB2312" w:hAnsi="仿宋_GB2312" w:eastAsia="仿宋_GB2312" w:cs="仿宋_GB2312"/>
          <w:b/>
          <w:bCs/>
          <w:sz w:val="32"/>
          <w:szCs w:val="32"/>
          <w:lang w:val="en-US" w:eastAsia="zh-CN"/>
        </w:rPr>
        <w:t>一是</w:t>
      </w:r>
      <w:r>
        <w:rPr>
          <w:rFonts w:hint="eastAsia" w:ascii="仿宋_GB2312" w:hAnsi="仿宋_GB2312" w:eastAsia="仿宋_GB2312" w:cs="仿宋_GB2312"/>
          <w:sz w:val="32"/>
          <w:szCs w:val="32"/>
          <w:lang w:val="en-US" w:eastAsia="zh-CN"/>
        </w:rPr>
        <w:t>加大培训力度。充分利用每周工作例会等会议，认真学习宣传和贯彻落实新修订的《政府信息公开条例》，认真领会国家、自治区、市和县政府关于信访公开工作的各项要求，积极推进政务公开与政务服务标准化有机融合，不断提高信息公开工作的质量和水平。</w:t>
      </w:r>
      <w:r>
        <w:rPr>
          <w:rFonts w:hint="eastAsia" w:ascii="仿宋_GB2312" w:hAnsi="仿宋_GB2312" w:eastAsia="仿宋_GB2312" w:cs="仿宋_GB2312"/>
          <w:b/>
          <w:bCs/>
          <w:sz w:val="32"/>
          <w:szCs w:val="32"/>
          <w:lang w:val="en-US" w:eastAsia="zh-CN"/>
        </w:rPr>
        <w:t>二是</w:t>
      </w:r>
      <w:r>
        <w:rPr>
          <w:rFonts w:hint="eastAsia" w:ascii="仿宋_GB2312" w:hAnsi="仿宋_GB2312" w:eastAsia="仿宋_GB2312" w:cs="仿宋_GB2312"/>
          <w:sz w:val="32"/>
          <w:szCs w:val="32"/>
          <w:lang w:val="en-US" w:eastAsia="zh-CN"/>
        </w:rPr>
        <w:t>加强队伍建设。建立由主要领导亲自安排落实、分管领导具体抓、系统管理员具体负责的工作机制，加强对政府信息公开工作的业务学习和培训，不断提升工作人员业务水平。</w:t>
      </w:r>
      <w:r>
        <w:rPr>
          <w:rFonts w:hint="eastAsia" w:ascii="仿宋_GB2312" w:hAnsi="仿宋_GB2312" w:eastAsia="仿宋_GB2312" w:cs="仿宋_GB2312"/>
          <w:b/>
          <w:bCs/>
          <w:sz w:val="32"/>
          <w:szCs w:val="32"/>
          <w:lang w:val="en-US" w:eastAsia="zh-CN"/>
        </w:rPr>
        <w:t>三是</w:t>
      </w:r>
      <w:r>
        <w:rPr>
          <w:rFonts w:hint="eastAsia" w:ascii="仿宋_GB2312" w:hAnsi="仿宋_GB2312" w:eastAsia="仿宋_GB2312" w:cs="仿宋_GB2312"/>
          <w:sz w:val="32"/>
          <w:szCs w:val="32"/>
          <w:lang w:val="en-US" w:eastAsia="zh-CN"/>
        </w:rPr>
        <w:t>加大网络宣传力度。全面分解落实工作任务，由专人负责信息采集上报工作，及时更新信息，进一步提升政府信息公开工作质效。</w:t>
      </w:r>
    </w:p>
    <w:p>
      <w:pPr>
        <w:keepNext w:val="0"/>
        <w:keepLines w:val="0"/>
        <w:pageBreakBefore w:val="0"/>
        <w:widowControl w:val="0"/>
        <w:numPr>
          <w:ilvl w:val="0"/>
          <w:numId w:val="3"/>
        </w:numPr>
        <w:kinsoku/>
        <w:wordWrap/>
        <w:overflowPunct/>
        <w:topLinePunct w:val="0"/>
        <w:autoSpaceDE/>
        <w:autoSpaceDN/>
        <w:bidi w:val="0"/>
        <w:adjustRightInd/>
        <w:snapToGrid/>
        <w:ind w:left="0" w:leftChars="0"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其他需要报告的事项</w:t>
      </w:r>
    </w:p>
    <w:p>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本年度我单位无信息管理费用情况。</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82033CD-BDA7-443D-B3FD-25295C1C5BDE}"/>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方正小标宋简体">
    <w:panose1 w:val="03000509000000000000"/>
    <w:charset w:val="86"/>
    <w:family w:val="auto"/>
    <w:pitch w:val="default"/>
    <w:sig w:usb0="00000001" w:usb1="080E0000" w:usb2="00000000" w:usb3="00000000" w:csb0="00040000" w:csb1="00000000"/>
    <w:embedRegular r:id="rId2" w:fontKey="{B7424F6E-0994-4B21-8BB5-B8BDB1B26DD8}"/>
  </w:font>
  <w:font w:name="仿宋_GB2312">
    <w:panose1 w:val="02010609030101010101"/>
    <w:charset w:val="86"/>
    <w:family w:val="auto"/>
    <w:pitch w:val="default"/>
    <w:sig w:usb0="00000001" w:usb1="080E0000" w:usb2="00000000" w:usb3="00000000" w:csb0="00040000" w:csb1="00000000"/>
    <w:embedRegular r:id="rId3" w:fontKey="{BFCBD691-B706-44D8-AA11-346C82B4B7EC}"/>
  </w:font>
  <w:font w:name="楷体_GB2312">
    <w:panose1 w:val="02010609030101010101"/>
    <w:charset w:val="86"/>
    <w:family w:val="auto"/>
    <w:pitch w:val="default"/>
    <w:sig w:usb0="00000001" w:usb1="080E0000" w:usb2="00000000" w:usb3="00000000" w:csb0="00040000" w:csb1="00000000"/>
    <w:embedRegular r:id="rId4" w:fontKey="{F53D8D39-1AF3-412A-93B9-00CFB2D445F7}"/>
  </w:font>
  <w:font w:name="仿宋">
    <w:panose1 w:val="02010609060101010101"/>
    <w:charset w:val="86"/>
    <w:family w:val="auto"/>
    <w:pitch w:val="default"/>
    <w:sig w:usb0="800002BF" w:usb1="38CF7CFA" w:usb2="00000016" w:usb3="00000000" w:csb0="00040001" w:csb1="00000000"/>
    <w:embedRegular r:id="rId5" w:fontKey="{E2275625-72E1-434F-9F94-8530415CA59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111B204"/>
    <w:multiLevelType w:val="singleLevel"/>
    <w:tmpl w:val="D111B204"/>
    <w:lvl w:ilvl="0" w:tentative="0">
      <w:start w:val="5"/>
      <w:numFmt w:val="chineseCounting"/>
      <w:suff w:val="nothing"/>
      <w:lvlText w:val="%1、"/>
      <w:lvlJc w:val="left"/>
      <w:rPr>
        <w:rFonts w:hint="eastAsia"/>
        <w:b/>
        <w:bCs/>
      </w:rPr>
    </w:lvl>
  </w:abstractNum>
  <w:abstractNum w:abstractNumId="1">
    <w:nsid w:val="F4F3C394"/>
    <w:multiLevelType w:val="singleLevel"/>
    <w:tmpl w:val="F4F3C394"/>
    <w:lvl w:ilvl="0" w:tentative="0">
      <w:start w:val="2"/>
      <w:numFmt w:val="chineseCounting"/>
      <w:suff w:val="nothing"/>
      <w:lvlText w:val="%1、"/>
      <w:lvlJc w:val="left"/>
      <w:rPr>
        <w:rFonts w:hint="eastAsia"/>
      </w:rPr>
    </w:lvl>
  </w:abstractNum>
  <w:abstractNum w:abstractNumId="2">
    <w:nsid w:val="4CB0604D"/>
    <w:multiLevelType w:val="singleLevel"/>
    <w:tmpl w:val="4CB0604D"/>
    <w:lvl w:ilvl="0" w:tentative="0">
      <w:start w:val="7"/>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2FA3BF8"/>
    <w:rsid w:val="0252560E"/>
    <w:rsid w:val="041F6A98"/>
    <w:rsid w:val="04D728EB"/>
    <w:rsid w:val="0903288D"/>
    <w:rsid w:val="09A84DD3"/>
    <w:rsid w:val="0A660908"/>
    <w:rsid w:val="0C0E70CD"/>
    <w:rsid w:val="0D3469D9"/>
    <w:rsid w:val="0E313584"/>
    <w:rsid w:val="0FC27C94"/>
    <w:rsid w:val="10C94305"/>
    <w:rsid w:val="11F4681E"/>
    <w:rsid w:val="11FE2A71"/>
    <w:rsid w:val="13BA2040"/>
    <w:rsid w:val="144B45AB"/>
    <w:rsid w:val="149E6EDC"/>
    <w:rsid w:val="17A66F82"/>
    <w:rsid w:val="18E91C42"/>
    <w:rsid w:val="1DA73C19"/>
    <w:rsid w:val="1E411C74"/>
    <w:rsid w:val="1F615A66"/>
    <w:rsid w:val="1FA22D28"/>
    <w:rsid w:val="229121BE"/>
    <w:rsid w:val="24836D75"/>
    <w:rsid w:val="266258C8"/>
    <w:rsid w:val="29122107"/>
    <w:rsid w:val="29143B49"/>
    <w:rsid w:val="29627086"/>
    <w:rsid w:val="2C8F66B1"/>
    <w:rsid w:val="32FA3BF8"/>
    <w:rsid w:val="33F90C31"/>
    <w:rsid w:val="34AA7E9A"/>
    <w:rsid w:val="34C918FF"/>
    <w:rsid w:val="381E5E4A"/>
    <w:rsid w:val="3959011C"/>
    <w:rsid w:val="39C26CA9"/>
    <w:rsid w:val="40300E10"/>
    <w:rsid w:val="419121E4"/>
    <w:rsid w:val="43413C27"/>
    <w:rsid w:val="46652D56"/>
    <w:rsid w:val="48275AD7"/>
    <w:rsid w:val="49A0283C"/>
    <w:rsid w:val="4A0464C6"/>
    <w:rsid w:val="4A356A62"/>
    <w:rsid w:val="4A3936DC"/>
    <w:rsid w:val="4AD8457E"/>
    <w:rsid w:val="4D002BE5"/>
    <w:rsid w:val="4DB34E2F"/>
    <w:rsid w:val="4FA30FBD"/>
    <w:rsid w:val="50B617C6"/>
    <w:rsid w:val="51CC78AC"/>
    <w:rsid w:val="51EB3EFE"/>
    <w:rsid w:val="54155791"/>
    <w:rsid w:val="547C5F7A"/>
    <w:rsid w:val="58D55112"/>
    <w:rsid w:val="5BCC2A03"/>
    <w:rsid w:val="5E5835B4"/>
    <w:rsid w:val="5FFA6CC0"/>
    <w:rsid w:val="61B115D7"/>
    <w:rsid w:val="61E408F8"/>
    <w:rsid w:val="62F975AE"/>
    <w:rsid w:val="64441F5E"/>
    <w:rsid w:val="67C75B3D"/>
    <w:rsid w:val="6A135607"/>
    <w:rsid w:val="6C026950"/>
    <w:rsid w:val="6D106307"/>
    <w:rsid w:val="6D7970A3"/>
    <w:rsid w:val="6E512C74"/>
    <w:rsid w:val="70E071C4"/>
    <w:rsid w:val="71843A4C"/>
    <w:rsid w:val="74420737"/>
    <w:rsid w:val="74DA7892"/>
    <w:rsid w:val="7557483C"/>
    <w:rsid w:val="76373F9F"/>
    <w:rsid w:val="7643711E"/>
    <w:rsid w:val="76C1108C"/>
    <w:rsid w:val="77004391"/>
    <w:rsid w:val="77E85551"/>
    <w:rsid w:val="7A1C14E2"/>
    <w:rsid w:val="7A633358"/>
    <w:rsid w:val="7BB17C9A"/>
    <w:rsid w:val="7C5C407B"/>
    <w:rsid w:val="7CF7378B"/>
    <w:rsid w:val="7FB712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character" w:styleId="6">
    <w:name w:val="Strong"/>
    <w:basedOn w:val="5"/>
    <w:qFormat/>
    <w:uiPriority w:val="0"/>
    <w:rPr>
      <w:b/>
    </w:rPr>
  </w:style>
  <w:style w:type="character" w:styleId="7">
    <w:name w:val="FollowedHyperlink"/>
    <w:basedOn w:val="5"/>
    <w:qFormat/>
    <w:uiPriority w:val="0"/>
    <w:rPr>
      <w:color w:val="333333"/>
      <w:u w:val="none"/>
    </w:rPr>
  </w:style>
  <w:style w:type="character" w:styleId="8">
    <w:name w:val="Emphasis"/>
    <w:basedOn w:val="5"/>
    <w:qFormat/>
    <w:uiPriority w:val="0"/>
  </w:style>
  <w:style w:type="character" w:styleId="9">
    <w:name w:val="Hyperlink"/>
    <w:basedOn w:val="5"/>
    <w:qFormat/>
    <w:uiPriority w:val="0"/>
    <w:rPr>
      <w:color w:val="333333"/>
      <w:u w:val="none"/>
    </w:rPr>
  </w:style>
  <w:style w:type="character" w:customStyle="1" w:styleId="10">
    <w:name w:val="last-child"/>
    <w:basedOn w:val="5"/>
    <w:qFormat/>
    <w:uiPriority w:val="0"/>
  </w:style>
  <w:style w:type="character" w:customStyle="1" w:styleId="11">
    <w:name w:val="last-child1"/>
    <w:basedOn w:val="5"/>
    <w:qFormat/>
    <w:uiPriority w:val="0"/>
  </w:style>
  <w:style w:type="character" w:customStyle="1" w:styleId="12">
    <w:name w:val="last-child2"/>
    <w:basedOn w:val="5"/>
    <w:qFormat/>
    <w:uiPriority w:val="0"/>
  </w:style>
  <w:style w:type="character" w:customStyle="1" w:styleId="13">
    <w:name w:val="last-child3"/>
    <w:basedOn w:val="5"/>
    <w:qFormat/>
    <w:uiPriority w:val="0"/>
  </w:style>
  <w:style w:type="character" w:customStyle="1" w:styleId="14">
    <w:name w:val="last-child4"/>
    <w:basedOn w:val="5"/>
    <w:qFormat/>
    <w:uiPriority w:val="0"/>
  </w:style>
  <w:style w:type="character" w:customStyle="1" w:styleId="15">
    <w:name w:val="first-child5"/>
    <w:basedOn w:val="5"/>
    <w:qFormat/>
    <w:uiPriority w:val="0"/>
  </w:style>
  <w:style w:type="character" w:customStyle="1" w:styleId="16">
    <w:name w:val="first-child6"/>
    <w:basedOn w:val="5"/>
    <w:qFormat/>
    <w:uiPriority w:val="0"/>
  </w:style>
  <w:style w:type="character" w:customStyle="1" w:styleId="17">
    <w:name w:val="bsharetext"/>
    <w:basedOn w:val="5"/>
    <w:qFormat/>
    <w:uiPriority w:val="0"/>
  </w:style>
  <w:style w:type="character" w:customStyle="1" w:styleId="18">
    <w:name w:val="nth-child(1)5"/>
    <w:basedOn w:val="5"/>
    <w:qFormat/>
    <w:uiPriority w:val="0"/>
  </w:style>
  <w:style w:type="character" w:customStyle="1" w:styleId="19">
    <w:name w:val="span1"/>
    <w:basedOn w:val="5"/>
    <w:qFormat/>
    <w:uiPriority w:val="0"/>
  </w:style>
  <w:style w:type="character" w:customStyle="1" w:styleId="20">
    <w:name w:val="span11"/>
    <w:basedOn w:val="5"/>
    <w:qFormat/>
    <w:uiPriority w:val="0"/>
  </w:style>
  <w:style w:type="character" w:customStyle="1" w:styleId="21">
    <w:name w:val="ccfensfe"/>
    <w:basedOn w:val="5"/>
    <w:qFormat/>
    <w:uiPriority w:val="0"/>
  </w:style>
  <w:style w:type="character" w:customStyle="1" w:styleId="22">
    <w:name w:val="c_inpuds"/>
    <w:basedOn w:val="5"/>
    <w:qFormat/>
    <w:uiPriority w:val="0"/>
    <w:rPr>
      <w:rFonts w:ascii="微软雅黑" w:hAnsi="微软雅黑" w:eastAsia="微软雅黑" w:cs="微软雅黑"/>
      <w:sz w:val="21"/>
      <w:szCs w:val="21"/>
    </w:rPr>
  </w:style>
  <w:style w:type="character" w:customStyle="1" w:styleId="23">
    <w:name w:val="nth-child(2)6"/>
    <w:basedOn w:val="5"/>
    <w:qFormat/>
    <w:uiPriority w:val="0"/>
  </w:style>
  <w:style w:type="character" w:customStyle="1" w:styleId="24">
    <w:name w:val="nth-child(2)7"/>
    <w:basedOn w:val="5"/>
    <w:qFormat/>
    <w:uiPriority w:val="0"/>
  </w:style>
  <w:style w:type="character" w:customStyle="1" w:styleId="25">
    <w:name w:val="hover103"/>
    <w:basedOn w:val="5"/>
    <w:qFormat/>
    <w:uiPriority w:val="0"/>
    <w:rPr>
      <w:b/>
      <w:bCs/>
    </w:rPr>
  </w:style>
  <w:style w:type="character" w:customStyle="1" w:styleId="26">
    <w:name w:val="c_loca"/>
    <w:basedOn w:val="5"/>
    <w:qFormat/>
    <w:uiPriority w:val="0"/>
    <w:rPr>
      <w:color w:val="333333"/>
      <w:sz w:val="24"/>
      <w:szCs w:val="24"/>
    </w:rPr>
  </w:style>
  <w:style w:type="character" w:customStyle="1" w:styleId="27">
    <w:name w:val="layui-layer-tabnow"/>
    <w:basedOn w:val="5"/>
    <w:qFormat/>
    <w:uiPriority w:val="0"/>
    <w:rPr>
      <w:bdr w:val="single" w:color="CCCCCC" w:sz="6" w:space="0"/>
      <w:shd w:val="clear" w:fill="FFFFFF"/>
    </w:rPr>
  </w:style>
  <w:style w:type="character" w:customStyle="1" w:styleId="28">
    <w:name w:val="no2"/>
    <w:basedOn w:val="5"/>
    <w:qFormat/>
    <w:uiPriority w:val="0"/>
  </w:style>
  <w:style w:type="character" w:customStyle="1" w:styleId="29">
    <w:name w:val="no1"/>
    <w:basedOn w:val="5"/>
    <w:qFormat/>
    <w:uiPriority w:val="0"/>
  </w:style>
  <w:style w:type="character" w:customStyle="1" w:styleId="30">
    <w:name w:val="non"/>
    <w:basedOn w:val="5"/>
    <w:qFormat/>
    <w:uiPriority w:val="0"/>
    <w:rPr>
      <w:color w:val="333333"/>
    </w:rPr>
  </w:style>
  <w:style w:type="character" w:customStyle="1" w:styleId="31">
    <w:name w:val="no3"/>
    <w:basedOn w:val="5"/>
    <w:qFormat/>
    <w:uiPriority w:val="0"/>
  </w:style>
  <w:style w:type="character" w:customStyle="1" w:styleId="32">
    <w:name w:val="num2"/>
    <w:basedOn w:val="5"/>
    <w:qFormat/>
    <w:uiPriority w:val="0"/>
    <w:rPr>
      <w:bdr w:val="single" w:color="FF0000" w:sz="2" w:space="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2366</Words>
  <Characters>2435</Characters>
  <Lines>0</Lines>
  <Paragraphs>0</Paragraphs>
  <TotalTime>34</TotalTime>
  <ScaleCrop>false</ScaleCrop>
  <LinksUpToDate>false</LinksUpToDate>
  <CharactersWithSpaces>2487</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2021-12-21T09:09:00Z</dcterms:created>
  <dc:creator>王馨熙</dc:creator>
  <cp:lastModifiedBy>WPS_1603860681</cp:lastModifiedBy>
  <cp:lastPrinted>2022-01-07T08:54:00Z</cp:lastPrinted>
  <dcterms:modified xsi:type="dcterms:W3CDTF">2022-03-31T02:32:09Z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277D42CA99C2469592F9DFD9F7015AF6</vt:lpwstr>
  </property>
</Properties>
</file>