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99" w:tblpY="2084"/>
        <w:tblOverlap w:val="never"/>
        <w:tblW w:w="1470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1345"/>
        <w:gridCol w:w="1825"/>
        <w:gridCol w:w="1520"/>
        <w:gridCol w:w="7962"/>
        <w:gridCol w:w="8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主要领导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责任领导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责任股室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股室负责人</w:t>
            </w:r>
          </w:p>
        </w:tc>
        <w:tc>
          <w:tcPr>
            <w:tcW w:w="7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承担的主要工作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atLeast"/>
          <w:jc w:val="center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朝宝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孟青梅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00" w:firstLineChars="10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00" w:firstLineChars="10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办公室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王燕翔</w:t>
            </w:r>
          </w:p>
        </w:tc>
        <w:tc>
          <w:tcPr>
            <w:tcW w:w="79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办文办会等机关日常政务、工作纪律、行政财务、保密工作、公文管理、档案管理、年度考核、后勤保障、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none"/>
                <w:lang w:val="en-US" w:eastAsia="zh-CN"/>
              </w:rPr>
              <w:t>微信公众号运营、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信息宣传与上报、政务公开平台、网络安全和新媒体宣传管理、疫情防控、国家通用语言文学工作、无烟单位创建；宣传思想和意识形态、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党建、日常党务、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党风廉政建设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纪检工作、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党员干部入社区服务、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铸牢中华民族共同体意识学习教育等、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统战、双拥、精神文明建设、工青妇和群团、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安全生产等工作；其他临时性工作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  <w:jc w:val="center"/>
        </w:trPr>
        <w:tc>
          <w:tcPr>
            <w:tcW w:w="11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34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苏亚勒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巴特尔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医疗保障服务中心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00" w:firstLineChars="100"/>
              <w:jc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仇俊枝</w:t>
            </w:r>
          </w:p>
        </w:tc>
        <w:tc>
          <w:tcPr>
            <w:tcW w:w="7962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职工医保、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居民医保各项业务经办；三级联包、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none"/>
                <w:lang w:val="en-US" w:eastAsia="zh-CN"/>
              </w:rPr>
              <w:t>乡村振兴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；信息工程建设；“12345”平台、政务服务、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优化营商环境、放管服等工作；对应上级相关工作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1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34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基金财务股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刘翠兰</w:t>
            </w:r>
          </w:p>
        </w:tc>
        <w:tc>
          <w:tcPr>
            <w:tcW w:w="796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医保基金预决算和待遇支付工作；基金财务管理；对应上级相关工作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1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包瑞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综合监管股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田慧民</w:t>
            </w:r>
          </w:p>
        </w:tc>
        <w:tc>
          <w:tcPr>
            <w:tcW w:w="796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医保基金监管；定点医药机构监管；社会信用体系建设；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对应上级相关工作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  <w:jc w:val="center"/>
        </w:trPr>
        <w:tc>
          <w:tcPr>
            <w:tcW w:w="116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医药价格与药品采购股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纳青</w:t>
            </w:r>
          </w:p>
        </w:tc>
        <w:tc>
          <w:tcPr>
            <w:tcW w:w="79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药采平台管理和业务经办；依法治旗各项工作、行政执法平台；信访维稳等工作；对应上级相关工作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乌后旗医保局2022年度股室工作任务分解表</w:t>
      </w:r>
    </w:p>
    <w:sectPr>
      <w:pgSz w:w="16838" w:h="11906" w:orient="landscape"/>
      <w:pgMar w:top="138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B1320"/>
    <w:rsid w:val="1BE41FE0"/>
    <w:rsid w:val="23995CDC"/>
    <w:rsid w:val="261D759C"/>
    <w:rsid w:val="275B44DB"/>
    <w:rsid w:val="2A1B1320"/>
    <w:rsid w:val="3F786294"/>
    <w:rsid w:val="4A782D69"/>
    <w:rsid w:val="4F7A4C39"/>
    <w:rsid w:val="6A944B37"/>
    <w:rsid w:val="727F2685"/>
    <w:rsid w:val="758028F8"/>
    <w:rsid w:val="7D21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2022-08-08T07:46:00Z</dcterms:created>
  <dc:creator>高宇</dc:creator>
  <cp:lastModifiedBy>高宇</cp:lastModifiedBy>
  <cp:lastPrinted>2022-11-16T07:39:30Z</cp:lastPrinted>
  <dcterms:modified xsi:type="dcterms:W3CDTF">2022-11-16T08:31:34Z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