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2F0D9" w:themeColor="accent6" w:themeTint="33"/>
  <w:body>
    <w:p>
      <w:pPr>
        <w:pStyle w:val="2"/>
        <w:bidi w:val="0"/>
        <w:rPr>
          <w:rFonts w:hint="eastAsia"/>
          <w:lang w:val="en-US" w:eastAsia="zh-CN"/>
        </w:rPr>
      </w:pPr>
    </w:p>
    <w:p>
      <w:pPr>
        <w:pStyle w:val="2"/>
        <w:bidi w:val="0"/>
        <w:rPr>
          <w:rFonts w:hint="eastAsia"/>
          <w:lang w:val="en-US" w:eastAsia="zh-CN"/>
        </w:rPr>
      </w:pPr>
    </w:p>
    <w:p>
      <w:pPr>
        <w:pStyle w:val="2"/>
        <w:bidi w:val="0"/>
        <w:rPr>
          <w:rFonts w:hint="eastAsia"/>
          <w:lang w:val="en-US" w:eastAsia="zh-CN"/>
        </w:rPr>
      </w:pPr>
    </w:p>
    <w:p>
      <w:pPr>
        <w:pStyle w:val="2"/>
        <w:bidi w:val="0"/>
        <w:rPr>
          <w:rFonts w:hint="eastAsia"/>
          <w:lang w:val="en-US" w:eastAsia="zh-CN"/>
        </w:rPr>
      </w:pPr>
    </w:p>
    <w:p>
      <w:pPr>
        <w:pStyle w:val="2"/>
        <w:bidi w:val="0"/>
        <w:rPr>
          <w:rFonts w:hint="eastAsia"/>
          <w:lang w:val="en-US" w:eastAsia="zh-CN"/>
        </w:rPr>
      </w:pPr>
      <w:r>
        <w:rPr>
          <w:rFonts w:hint="eastAsia"/>
          <w:lang w:val="en-US" w:eastAsia="zh-CN"/>
        </w:rPr>
        <w:t>同和太种畜繁育中心2022年政府信息公开工作年度报告</w:t>
      </w:r>
    </w:p>
    <w:p>
      <w:pPr>
        <w:keepNext w:val="0"/>
        <w:keepLines w:val="0"/>
        <w:pageBreakBefore w:val="0"/>
        <w:kinsoku/>
        <w:wordWrap/>
        <w:overflowPunct/>
        <w:topLinePunct w:val="0"/>
        <w:autoSpaceDE/>
        <w:autoSpaceDN/>
        <w:bidi w:val="0"/>
        <w:adjustRightInd/>
        <w:snapToGrid/>
        <w:spacing w:line="480" w:lineRule="auto"/>
        <w:ind w:firstLine="643" w:firstLineChars="200"/>
        <w:jc w:val="both"/>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一、总体情况</w:t>
      </w:r>
    </w:p>
    <w:p>
      <w:pPr>
        <w:keepNext w:val="0"/>
        <w:keepLines w:val="0"/>
        <w:pageBreakBefore w:val="0"/>
        <w:kinsoku/>
        <w:wordWrap/>
        <w:overflowPunct/>
        <w:topLinePunct w:val="0"/>
        <w:autoSpaceDE/>
        <w:autoSpaceDN/>
        <w:bidi w:val="0"/>
        <w:adjustRightInd/>
        <w:snapToGrid/>
        <w:spacing w:line="480" w:lineRule="auto"/>
        <w:ind w:firstLine="640" w:firstLineChars="200"/>
        <w:jc w:val="both"/>
        <w:textAlignment w:val="auto"/>
        <w:rPr>
          <w:rFonts w:hint="default" w:ascii="仿宋" w:hAnsi="仿宋" w:eastAsia="仿宋" w:cs="仿宋"/>
          <w:kern w:val="0"/>
          <w:sz w:val="32"/>
          <w:szCs w:val="32"/>
          <w:shd w:val="clear" w:color="auto" w:fill="FFFFFF"/>
          <w:lang w:val="en-US" w:eastAsia="zh-CN" w:bidi="ar-SA"/>
        </w:rPr>
      </w:pPr>
      <w:r>
        <w:rPr>
          <w:rFonts w:hint="eastAsia" w:ascii="仿宋" w:hAnsi="仿宋" w:eastAsia="仿宋" w:cs="仿宋"/>
          <w:kern w:val="0"/>
          <w:sz w:val="32"/>
          <w:szCs w:val="32"/>
          <w:shd w:val="clear" w:color="auto" w:fill="FFFFFF"/>
          <w:lang w:val="en-US" w:eastAsia="zh-CN" w:bidi="ar-SA"/>
        </w:rPr>
        <w:t>根据《中华人民共和国政府信息公开条例》（以下简称《条例》）,《内蒙古自治区政府信息公开工作年度报告制度》和《巴彦淖尔市政府信息公开工作年度报告制度》的规定，结合我中心实际，对2022年度政府信息公开工作进行了梳理、统计和总结，并向全社会公开。2022年，同和太种畜繁育中心继续以习近平新时代中国特色社会主义思想指导，认真贯彻上级部门关于各类政务信息公开文件的指示要求，积极主动回应社会关切，有序推进信息公开工作开展，现将工作开展情况报告如下.对2022年度政府信息公开工作进行了梳理、统计和总结，并向全社会公开。报告统计期限为2022年1月1日起至2022年12月31日为止，该报告在乌拉特中旗人民政府网站上公布。网址：（http://www.wltzq.gov.cn/）</w:t>
      </w:r>
      <w:bookmarkStart w:id="0" w:name="_GoBack"/>
      <w:bookmarkEnd w:id="0"/>
    </w:p>
    <w:p>
      <w:pPr>
        <w:keepNext w:val="0"/>
        <w:keepLines w:val="0"/>
        <w:pageBreakBefore w:val="0"/>
        <w:kinsoku/>
        <w:wordWrap/>
        <w:overflowPunct/>
        <w:topLinePunct w:val="0"/>
        <w:autoSpaceDE/>
        <w:autoSpaceDN/>
        <w:bidi w:val="0"/>
        <w:adjustRightInd/>
        <w:snapToGrid/>
        <w:spacing w:line="480" w:lineRule="auto"/>
        <w:ind w:firstLine="643" w:firstLineChars="200"/>
        <w:jc w:val="both"/>
        <w:textAlignment w:val="auto"/>
        <w:rPr>
          <w:rFonts w:hint="eastAsia" w:ascii="仿宋" w:hAnsi="仿宋" w:eastAsia="仿宋" w:cs="仿宋"/>
          <w:kern w:val="0"/>
          <w:sz w:val="32"/>
          <w:szCs w:val="32"/>
          <w:lang w:val="en-US" w:eastAsia="zh-CN"/>
        </w:rPr>
      </w:pPr>
      <w:r>
        <w:rPr>
          <w:rFonts w:hint="eastAsia" w:ascii="楷体" w:hAnsi="楷体" w:eastAsia="楷体" w:cs="楷体"/>
          <w:b/>
          <w:bCs/>
          <w:kern w:val="2"/>
          <w:sz w:val="32"/>
          <w:szCs w:val="32"/>
          <w:lang w:val="en-US" w:eastAsia="zh-CN" w:bidi="ar-SA"/>
        </w:rPr>
        <w:t>（一）主动公开情况。</w:t>
      </w:r>
      <w:r>
        <w:rPr>
          <w:rFonts w:hint="eastAsia" w:ascii="仿宋" w:hAnsi="仿宋" w:eastAsia="仿宋" w:cs="仿宋"/>
          <w:kern w:val="0"/>
          <w:sz w:val="32"/>
          <w:szCs w:val="32"/>
          <w:lang w:val="en-US" w:eastAsia="zh-CN"/>
        </w:rPr>
        <w:t>本年度通过“巴彦淖尔政府政务公开平台”新增主动公开政府信息共73条，其中：政策性文件1条，政务信息公共目录、指南、年报2条，基层政务公开20条，政策解读2条，预决算公开1条，决策公开5条，执行公开1条，重点领域15条，重大会议信息5条，办事服务7条，规划计划4条，新媒体1条，管理公开7条，服务公开7条，结果公开3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rightChars="0" w:firstLine="643" w:firstLineChars="200"/>
        <w:jc w:val="both"/>
        <w:textAlignment w:val="auto"/>
        <w:rPr>
          <w:rFonts w:hint="default" w:ascii="仿宋" w:hAnsi="仿宋" w:eastAsia="仿宋" w:cs="仿宋"/>
          <w:kern w:val="0"/>
          <w:sz w:val="32"/>
          <w:szCs w:val="32"/>
          <w:lang w:val="en-US" w:eastAsia="zh-CN"/>
        </w:rPr>
      </w:pPr>
      <w:r>
        <w:rPr>
          <w:rFonts w:hint="eastAsia" w:ascii="楷体" w:hAnsi="楷体" w:eastAsia="楷体" w:cs="楷体"/>
          <w:b/>
          <w:bCs/>
          <w:kern w:val="2"/>
          <w:sz w:val="32"/>
          <w:szCs w:val="32"/>
          <w:lang w:val="en-US" w:eastAsia="zh-CN" w:bidi="ar-SA"/>
        </w:rPr>
        <w:t>（二）依申请公开政府信息。</w:t>
      </w:r>
      <w:r>
        <w:rPr>
          <w:rFonts w:hint="eastAsia" w:ascii="仿宋" w:hAnsi="仿宋" w:eastAsia="仿宋" w:cs="仿宋"/>
          <w:kern w:val="0"/>
          <w:sz w:val="32"/>
          <w:szCs w:val="32"/>
          <w:lang w:val="en-US" w:eastAsia="zh-CN"/>
        </w:rPr>
        <w:t>2022年度，同和太种畜繁育中心依申请公开政府信息和不予公开政府信息条数为0条。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rightChars="0" w:firstLine="643" w:firstLineChars="200"/>
        <w:jc w:val="both"/>
        <w:textAlignment w:val="auto"/>
        <w:rPr>
          <w:rFonts w:hint="eastAsia" w:ascii="仿宋" w:hAnsi="仿宋" w:eastAsia="仿宋" w:cs="仿宋"/>
          <w:i w:val="0"/>
          <w:iCs w:val="0"/>
          <w:caps w:val="0"/>
          <w:color w:val="000000"/>
          <w:spacing w:val="0"/>
          <w:kern w:val="0"/>
          <w:sz w:val="32"/>
          <w:szCs w:val="32"/>
          <w:shd w:val="clear" w:color="auto" w:fill="FFFFFF"/>
          <w:vertAlign w:val="baseline"/>
          <w:lang w:val="en-US" w:eastAsia="zh-CN" w:bidi="ar-SA"/>
        </w:rPr>
      </w:pPr>
      <w:r>
        <w:rPr>
          <w:rFonts w:hint="eastAsia" w:ascii="楷体" w:hAnsi="楷体" w:eastAsia="楷体" w:cs="楷体"/>
          <w:b/>
          <w:bCs/>
          <w:kern w:val="2"/>
          <w:sz w:val="32"/>
          <w:szCs w:val="32"/>
          <w:lang w:val="en-US" w:eastAsia="zh-CN" w:bidi="ar-SA"/>
        </w:rPr>
        <w:t>（三）政府信息管理情况。</w:t>
      </w:r>
      <w:r>
        <w:rPr>
          <w:rFonts w:hint="eastAsia" w:ascii="仿宋" w:hAnsi="仿宋" w:eastAsia="仿宋" w:cs="仿宋"/>
          <w:i w:val="0"/>
          <w:iCs w:val="0"/>
          <w:caps w:val="0"/>
          <w:color w:val="000000"/>
          <w:spacing w:val="0"/>
          <w:kern w:val="0"/>
          <w:sz w:val="32"/>
          <w:szCs w:val="32"/>
          <w:shd w:val="clear" w:color="auto" w:fill="FFFFFF"/>
          <w:vertAlign w:val="baseline"/>
          <w:lang w:val="en-US" w:eastAsia="zh-CN" w:bidi="ar-SA"/>
        </w:rPr>
        <w:t>中心领导高度重视政府信息公开工作，为提高政府信息公开效率，确保信息公开工作有组织、有计划、有步骤的推进，我中心明确分工，责任到人。各科室负责公开内容，分管领导负责保密审核，办公室牵头并明确专人负责政府信息公开宣传、督促等日常工作。加强和完善政府信息公开工作的保密措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Chars="200" w:right="0" w:rightChars="0"/>
        <w:jc w:val="both"/>
        <w:textAlignment w:val="auto"/>
        <w:rPr>
          <w:rFonts w:hint="eastAsia" w:ascii="仿宋" w:hAnsi="仿宋" w:eastAsia="仿宋" w:cs="仿宋"/>
          <w:i w:val="0"/>
          <w:iCs w:val="0"/>
          <w:caps w:val="0"/>
          <w:color w:val="000000"/>
          <w:spacing w:val="0"/>
          <w:kern w:val="0"/>
          <w:sz w:val="32"/>
          <w:szCs w:val="32"/>
          <w:shd w:val="clear" w:color="auto" w:fill="FFFFFF"/>
          <w:vertAlign w:val="baseline"/>
          <w:lang w:val="en-US" w:eastAsia="zh-CN" w:bidi="ar-SA"/>
        </w:rPr>
      </w:pPr>
      <w:r>
        <w:rPr>
          <w:rFonts w:hint="eastAsia" w:ascii="楷体" w:hAnsi="楷体" w:eastAsia="楷体" w:cs="楷体"/>
          <w:b/>
          <w:bCs/>
          <w:kern w:val="2"/>
          <w:sz w:val="32"/>
          <w:szCs w:val="32"/>
          <w:lang w:val="en-US" w:eastAsia="zh-CN" w:bidi="ar-SA"/>
        </w:rPr>
        <w:t>（四）平台建设情况。</w:t>
      </w:r>
      <w:r>
        <w:rPr>
          <w:rFonts w:hint="eastAsia" w:ascii="仿宋" w:hAnsi="仿宋" w:eastAsia="仿宋" w:cs="仿宋"/>
          <w:i w:val="0"/>
          <w:iCs w:val="0"/>
          <w:caps w:val="0"/>
          <w:color w:val="000000"/>
          <w:spacing w:val="0"/>
          <w:kern w:val="0"/>
          <w:sz w:val="32"/>
          <w:szCs w:val="32"/>
          <w:shd w:val="clear" w:color="auto" w:fill="FFFFFF"/>
          <w:vertAlign w:val="baseline"/>
          <w:lang w:val="en-US" w:eastAsia="zh-CN" w:bidi="ar-SA"/>
        </w:rPr>
        <w:t>我中心严格按照要求，及时更新平台信息。认真做好新旧平台数据迁移，完善新平台目录梳理。严格执行政府信息公开前保密审核制度，规范政府信息公开的审查程序，确保政务公开规范运行。</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Chars="200" w:right="0" w:rightChars="0"/>
        <w:jc w:val="both"/>
        <w:textAlignment w:val="auto"/>
        <w:rPr>
          <w:rFonts w:hint="eastAsia" w:ascii="仿宋" w:hAnsi="仿宋" w:eastAsia="仿宋" w:cs="仿宋"/>
          <w:i w:val="0"/>
          <w:iCs w:val="0"/>
          <w:caps w:val="0"/>
          <w:color w:val="000000"/>
          <w:spacing w:val="0"/>
          <w:kern w:val="0"/>
          <w:sz w:val="32"/>
          <w:szCs w:val="32"/>
          <w:shd w:val="clear" w:color="auto" w:fill="FFFFFF"/>
          <w:vertAlign w:val="baseline"/>
          <w:lang w:val="en-US" w:eastAsia="zh-CN" w:bidi="ar-SA"/>
        </w:rPr>
      </w:pPr>
      <w:r>
        <w:rPr>
          <w:rFonts w:hint="eastAsia" w:ascii="楷体" w:hAnsi="楷体" w:eastAsia="楷体" w:cs="楷体"/>
          <w:b/>
          <w:bCs/>
          <w:kern w:val="2"/>
          <w:sz w:val="32"/>
          <w:szCs w:val="32"/>
          <w:lang w:val="en-US" w:eastAsia="zh-CN" w:bidi="ar-SA"/>
        </w:rPr>
        <w:t>（五）监督保障情况。</w:t>
      </w:r>
      <w:r>
        <w:rPr>
          <w:rFonts w:hint="eastAsia" w:ascii="仿宋" w:hAnsi="仿宋" w:eastAsia="仿宋" w:cs="仿宋"/>
          <w:i w:val="0"/>
          <w:iCs w:val="0"/>
          <w:caps w:val="0"/>
          <w:color w:val="000000"/>
          <w:spacing w:val="0"/>
          <w:kern w:val="0"/>
          <w:sz w:val="32"/>
          <w:szCs w:val="32"/>
          <w:shd w:val="clear" w:color="auto" w:fill="FFFFFF"/>
          <w:vertAlign w:val="baseline"/>
          <w:lang w:val="en-US" w:eastAsia="zh-CN" w:bidi="ar-SA"/>
        </w:rPr>
        <w:t>我中心积极参加政府公开召办的政府信息公开培训会议，主动接受政府信息公开工作主管部门对政府信息公开工作的日常指导与监督检查，对提出的问题及时进行整改。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Chars="200" w:right="0" w:rightChars="0"/>
        <w:jc w:val="both"/>
        <w:textAlignment w:val="auto"/>
        <w:rPr>
          <w:rFonts w:hint="eastAsia" w:ascii="仿宋" w:hAnsi="仿宋" w:eastAsia="仿宋" w:cs="仿宋"/>
          <w:i w:val="0"/>
          <w:iCs w:val="0"/>
          <w:caps w:val="0"/>
          <w:color w:val="000000"/>
          <w:spacing w:val="0"/>
          <w:kern w:val="0"/>
          <w:sz w:val="32"/>
          <w:szCs w:val="32"/>
          <w:shd w:val="clear" w:color="auto" w:fill="FFFFFF"/>
          <w:vertAlign w:val="baseline"/>
          <w:lang w:val="en-US" w:eastAsia="zh-CN" w:bidi="ar-SA"/>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Chars="200" w:right="0" w:rightChars="0"/>
        <w:jc w:val="both"/>
        <w:textAlignment w:val="auto"/>
        <w:rPr>
          <w:rFonts w:hint="eastAsia" w:ascii="仿宋" w:hAnsi="仿宋" w:eastAsia="仿宋" w:cs="仿宋"/>
          <w:i w:val="0"/>
          <w:iCs w:val="0"/>
          <w:caps w:val="0"/>
          <w:color w:val="000000"/>
          <w:spacing w:val="0"/>
          <w:kern w:val="0"/>
          <w:sz w:val="32"/>
          <w:szCs w:val="32"/>
          <w:shd w:val="clear" w:color="auto" w:fill="FFFFFF"/>
          <w:vertAlign w:val="baseline"/>
          <w:lang w:val="en-US" w:eastAsia="zh-CN" w:bidi="ar-SA"/>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Chars="200" w:right="0" w:rightChars="0"/>
        <w:jc w:val="both"/>
        <w:textAlignment w:val="auto"/>
        <w:rPr>
          <w:rFonts w:hint="eastAsia" w:ascii="仿宋" w:hAnsi="仿宋" w:eastAsia="仿宋" w:cs="仿宋"/>
          <w:i w:val="0"/>
          <w:iCs w:val="0"/>
          <w:caps w:val="0"/>
          <w:color w:val="000000"/>
          <w:spacing w:val="0"/>
          <w:kern w:val="0"/>
          <w:sz w:val="32"/>
          <w:szCs w:val="32"/>
          <w:shd w:val="clear" w:color="auto" w:fill="FFFFFF"/>
          <w:vertAlign w:val="baseline"/>
          <w:lang w:val="en-US" w:eastAsia="zh-CN" w:bidi="ar-SA"/>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Chars="200" w:right="0" w:rightChars="0"/>
        <w:jc w:val="both"/>
        <w:textAlignment w:val="auto"/>
        <w:rPr>
          <w:rFonts w:hint="eastAsia" w:ascii="仿宋" w:hAnsi="仿宋" w:eastAsia="仿宋" w:cs="仿宋"/>
          <w:i w:val="0"/>
          <w:iCs w:val="0"/>
          <w:caps w:val="0"/>
          <w:color w:val="000000"/>
          <w:spacing w:val="0"/>
          <w:kern w:val="0"/>
          <w:sz w:val="32"/>
          <w:szCs w:val="32"/>
          <w:shd w:val="clear" w:color="auto" w:fill="FFFFFF"/>
          <w:vertAlign w:val="baseline"/>
          <w:lang w:val="en-US" w:eastAsia="zh-CN" w:bidi="ar-SA"/>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right="0" w:rightChars="0"/>
        <w:jc w:val="left"/>
        <w:rPr>
          <w:rFonts w:hint="eastAsia" w:eastAsiaTheme="minorEastAsia"/>
          <w:highlight w:val="none"/>
          <w:lang w:eastAsia="zh-CN"/>
        </w:rPr>
      </w:pPr>
      <w:r>
        <w:rPr>
          <w:rFonts w:hint="eastAsia" w:ascii="黑体" w:hAnsi="黑体" w:eastAsia="黑体" w:cs="黑体"/>
          <w:b w:val="0"/>
          <w:bCs w:val="0"/>
          <w:i w:val="0"/>
          <w:iCs w:val="0"/>
          <w:caps w:val="0"/>
          <w:color w:val="333333"/>
          <w:spacing w:val="0"/>
          <w:kern w:val="0"/>
          <w:sz w:val="32"/>
          <w:szCs w:val="32"/>
          <w:highlight w:val="none"/>
          <w:shd w:val="clear" w:color="auto" w:fill="FFFFFF"/>
          <w:lang w:val="en-US" w:eastAsia="zh-CN" w:bidi="ar-SA"/>
        </w:rPr>
        <w:t>二、主动公开政府信息情况</w:t>
      </w:r>
    </w:p>
    <w:tbl>
      <w:tblPr>
        <w:tblStyle w:val="4"/>
        <w:tblW w:w="8525" w:type="dxa"/>
        <w:jc w:val="center"/>
        <w:shd w:val="clear" w:color="auto" w:fill="FFFFFF"/>
        <w:tblLayout w:type="autofit"/>
        <w:tblCellMar>
          <w:top w:w="15" w:type="dxa"/>
          <w:left w:w="15" w:type="dxa"/>
          <w:bottom w:w="15" w:type="dxa"/>
          <w:right w:w="15" w:type="dxa"/>
        </w:tblCellMar>
      </w:tblPr>
      <w:tblGrid>
        <w:gridCol w:w="2429"/>
        <w:gridCol w:w="2559"/>
        <w:gridCol w:w="1271"/>
        <w:gridCol w:w="2266"/>
      </w:tblGrid>
      <w:tr>
        <w:tblPrEx>
          <w:shd w:val="clear" w:color="auto" w:fill="FFFFFF"/>
          <w:tblCellMar>
            <w:top w:w="15" w:type="dxa"/>
            <w:left w:w="15" w:type="dxa"/>
            <w:bottom w:w="15" w:type="dxa"/>
            <w:right w:w="15" w:type="dxa"/>
          </w:tblCellMar>
        </w:tblPrEx>
        <w:trPr>
          <w:trHeight w:val="386" w:hRule="atLeast"/>
          <w:jc w:val="center"/>
        </w:trPr>
        <w:tc>
          <w:tcPr>
            <w:tcW w:w="8525"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　　第二十条第（一）项</w:t>
            </w:r>
          </w:p>
        </w:tc>
      </w:tr>
      <w:tr>
        <w:tblPrEx>
          <w:shd w:val="clear" w:color="auto" w:fill="FFFFFF"/>
          <w:tblCellMar>
            <w:top w:w="15" w:type="dxa"/>
            <w:left w:w="15" w:type="dxa"/>
            <w:bottom w:w="15" w:type="dxa"/>
            <w:right w:w="15" w:type="dxa"/>
          </w:tblCellMar>
        </w:tblPrEx>
        <w:trPr>
          <w:trHeight w:val="688" w:hRule="atLeast"/>
          <w:jc w:val="center"/>
        </w:trPr>
        <w:tc>
          <w:tcPr>
            <w:tcW w:w="2429" w:type="dxa"/>
            <w:tcBorders>
              <w:top w:val="nil"/>
              <w:left w:val="single" w:color="auto" w:sz="8" w:space="0"/>
              <w:bottom w:val="single" w:color="auto" w:sz="8" w:space="0"/>
              <w:right w:val="single" w:color="auto" w:sz="4"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信息内容</w:t>
            </w:r>
          </w:p>
        </w:tc>
        <w:tc>
          <w:tcPr>
            <w:tcW w:w="2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default" w:ascii="仿宋_GB2312" w:hAnsi="仿宋_GB2312" w:eastAsia="仿宋_GB2312" w:cs="仿宋_GB2312"/>
                <w:color w:val="auto"/>
                <w:sz w:val="30"/>
                <w:szCs w:val="30"/>
                <w:lang w:val="en-US"/>
              </w:rPr>
            </w:pPr>
            <w:r>
              <w:rPr>
                <w:rFonts w:hint="eastAsia" w:ascii="仿宋_GB2312" w:hAnsi="仿宋_GB2312" w:eastAsia="仿宋_GB2312" w:cs="仿宋_GB2312"/>
                <w:i w:val="0"/>
                <w:caps w:val="0"/>
                <w:color w:val="auto"/>
                <w:spacing w:val="0"/>
                <w:kern w:val="0"/>
                <w:sz w:val="30"/>
                <w:szCs w:val="30"/>
                <w:lang w:val="en-US" w:eastAsia="zh-CN"/>
              </w:rPr>
              <w:t>本年制发件数</w:t>
            </w:r>
          </w:p>
        </w:tc>
        <w:tc>
          <w:tcPr>
            <w:tcW w:w="1271" w:type="dxa"/>
            <w:tcBorders>
              <w:top w:val="single" w:color="auto" w:sz="8" w:space="0"/>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本年废止件数</w:t>
            </w:r>
          </w:p>
        </w:tc>
        <w:tc>
          <w:tcPr>
            <w:tcW w:w="22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default" w:ascii="仿宋_GB2312" w:hAnsi="仿宋_GB2312" w:eastAsia="仿宋_GB2312" w:cs="仿宋_GB2312"/>
                <w:color w:val="auto"/>
                <w:sz w:val="30"/>
                <w:szCs w:val="30"/>
                <w:lang w:val="en-US"/>
              </w:rPr>
            </w:pPr>
            <w:r>
              <w:rPr>
                <w:rFonts w:hint="eastAsia" w:ascii="仿宋_GB2312" w:hAnsi="仿宋_GB2312" w:eastAsia="仿宋_GB2312" w:cs="仿宋_GB2312"/>
                <w:i w:val="0"/>
                <w:caps w:val="0"/>
                <w:color w:val="auto"/>
                <w:spacing w:val="0"/>
                <w:kern w:val="0"/>
                <w:sz w:val="30"/>
                <w:szCs w:val="30"/>
                <w:lang w:val="en-US" w:eastAsia="zh-CN"/>
              </w:rPr>
              <w:t>现行有效件数</w:t>
            </w:r>
          </w:p>
        </w:tc>
      </w:tr>
      <w:tr>
        <w:tblPrEx>
          <w:shd w:val="clear" w:color="auto" w:fill="FFFFFF"/>
          <w:tblCellMar>
            <w:top w:w="15" w:type="dxa"/>
            <w:left w:w="15" w:type="dxa"/>
            <w:bottom w:w="15" w:type="dxa"/>
            <w:right w:w="15" w:type="dxa"/>
          </w:tblCellMar>
        </w:tblPrEx>
        <w:trPr>
          <w:trHeight w:val="349" w:hRule="atLeast"/>
          <w:jc w:val="center"/>
        </w:trPr>
        <w:tc>
          <w:tcPr>
            <w:tcW w:w="242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规章</w:t>
            </w:r>
          </w:p>
        </w:tc>
        <w:tc>
          <w:tcPr>
            <w:tcW w:w="2559"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0</w:t>
            </w:r>
          </w:p>
        </w:tc>
        <w:tc>
          <w:tcPr>
            <w:tcW w:w="12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0</w:t>
            </w:r>
          </w:p>
        </w:tc>
        <w:tc>
          <w:tcPr>
            <w:tcW w:w="22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0</w:t>
            </w:r>
          </w:p>
        </w:tc>
      </w:tr>
      <w:tr>
        <w:tblPrEx>
          <w:shd w:val="clear" w:color="auto" w:fill="FFFFFF"/>
          <w:tblCellMar>
            <w:top w:w="15" w:type="dxa"/>
            <w:left w:w="15" w:type="dxa"/>
            <w:bottom w:w="15" w:type="dxa"/>
            <w:right w:w="15" w:type="dxa"/>
          </w:tblCellMar>
        </w:tblPrEx>
        <w:trPr>
          <w:trHeight w:val="367" w:hRule="atLeast"/>
          <w:jc w:val="center"/>
        </w:trPr>
        <w:tc>
          <w:tcPr>
            <w:tcW w:w="242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规范性文件</w:t>
            </w:r>
          </w:p>
        </w:tc>
        <w:tc>
          <w:tcPr>
            <w:tcW w:w="25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w:t>
            </w:r>
          </w:p>
        </w:tc>
        <w:tc>
          <w:tcPr>
            <w:tcW w:w="12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0</w:t>
            </w:r>
          </w:p>
        </w:tc>
        <w:tc>
          <w:tcPr>
            <w:tcW w:w="22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w:t>
            </w:r>
          </w:p>
        </w:tc>
      </w:tr>
      <w:tr>
        <w:tblPrEx>
          <w:shd w:val="clear" w:color="auto" w:fill="FFFFFF"/>
          <w:tblCellMar>
            <w:top w:w="15" w:type="dxa"/>
            <w:left w:w="15" w:type="dxa"/>
            <w:bottom w:w="15" w:type="dxa"/>
            <w:right w:w="15" w:type="dxa"/>
          </w:tblCellMar>
        </w:tblPrEx>
        <w:trPr>
          <w:trHeight w:val="480" w:hRule="atLeast"/>
          <w:jc w:val="center"/>
        </w:trPr>
        <w:tc>
          <w:tcPr>
            <w:tcW w:w="8525" w:type="dxa"/>
            <w:gridSpan w:val="4"/>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第二十条第（五）项</w:t>
            </w:r>
          </w:p>
        </w:tc>
      </w:tr>
      <w:tr>
        <w:tblPrEx>
          <w:shd w:val="clear" w:color="auto" w:fill="FFFFFF"/>
          <w:tblCellMar>
            <w:top w:w="15" w:type="dxa"/>
            <w:left w:w="15" w:type="dxa"/>
            <w:bottom w:w="15" w:type="dxa"/>
            <w:right w:w="15" w:type="dxa"/>
          </w:tblCellMar>
        </w:tblPrEx>
        <w:trPr>
          <w:trHeight w:val="471" w:hRule="atLeast"/>
          <w:jc w:val="center"/>
        </w:trPr>
        <w:tc>
          <w:tcPr>
            <w:tcW w:w="242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信息内容</w:t>
            </w:r>
          </w:p>
        </w:tc>
        <w:tc>
          <w:tcPr>
            <w:tcW w:w="6096" w:type="dxa"/>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处理决定数量</w:t>
            </w:r>
          </w:p>
        </w:tc>
      </w:tr>
      <w:tr>
        <w:tblPrEx>
          <w:shd w:val="clear" w:color="auto" w:fill="FFFFFF"/>
          <w:tblCellMar>
            <w:top w:w="15" w:type="dxa"/>
            <w:left w:w="15" w:type="dxa"/>
            <w:bottom w:w="15" w:type="dxa"/>
            <w:right w:w="15" w:type="dxa"/>
          </w:tblCellMar>
        </w:tblPrEx>
        <w:trPr>
          <w:trHeight w:val="317" w:hRule="atLeast"/>
          <w:jc w:val="center"/>
        </w:trPr>
        <w:tc>
          <w:tcPr>
            <w:tcW w:w="242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行政许可</w:t>
            </w:r>
          </w:p>
        </w:tc>
        <w:tc>
          <w:tcPr>
            <w:tcW w:w="6096"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0</w:t>
            </w:r>
          </w:p>
        </w:tc>
      </w:tr>
      <w:tr>
        <w:tblPrEx>
          <w:tblCellMar>
            <w:top w:w="15" w:type="dxa"/>
            <w:left w:w="15" w:type="dxa"/>
            <w:bottom w:w="15" w:type="dxa"/>
            <w:right w:w="15" w:type="dxa"/>
          </w:tblCellMar>
        </w:tblPrEx>
        <w:trPr>
          <w:trHeight w:val="406" w:hRule="atLeast"/>
          <w:jc w:val="center"/>
        </w:trPr>
        <w:tc>
          <w:tcPr>
            <w:tcW w:w="8525" w:type="dxa"/>
            <w:gridSpan w:val="4"/>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第二十条第（六）项</w:t>
            </w:r>
          </w:p>
        </w:tc>
      </w:tr>
      <w:tr>
        <w:tblPrEx>
          <w:tblCellMar>
            <w:top w:w="15" w:type="dxa"/>
            <w:left w:w="15" w:type="dxa"/>
            <w:bottom w:w="15" w:type="dxa"/>
            <w:right w:w="15" w:type="dxa"/>
          </w:tblCellMar>
        </w:tblPrEx>
        <w:trPr>
          <w:trHeight w:val="481" w:hRule="atLeast"/>
          <w:jc w:val="center"/>
        </w:trPr>
        <w:tc>
          <w:tcPr>
            <w:tcW w:w="242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信息内容</w:t>
            </w:r>
          </w:p>
        </w:tc>
        <w:tc>
          <w:tcPr>
            <w:tcW w:w="6096" w:type="dxa"/>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处理决定数量</w:t>
            </w:r>
          </w:p>
        </w:tc>
      </w:tr>
      <w:tr>
        <w:tblPrEx>
          <w:tblCellMar>
            <w:top w:w="15" w:type="dxa"/>
            <w:left w:w="15" w:type="dxa"/>
            <w:bottom w:w="15" w:type="dxa"/>
            <w:right w:w="15" w:type="dxa"/>
          </w:tblCellMar>
        </w:tblPrEx>
        <w:trPr>
          <w:trHeight w:val="430" w:hRule="atLeast"/>
          <w:jc w:val="center"/>
        </w:trPr>
        <w:tc>
          <w:tcPr>
            <w:tcW w:w="242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行政处罚</w:t>
            </w:r>
          </w:p>
        </w:tc>
        <w:tc>
          <w:tcPr>
            <w:tcW w:w="6096"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0</w:t>
            </w:r>
          </w:p>
        </w:tc>
      </w:tr>
      <w:tr>
        <w:tblPrEx>
          <w:tblCellMar>
            <w:top w:w="15" w:type="dxa"/>
            <w:left w:w="15" w:type="dxa"/>
            <w:bottom w:w="15" w:type="dxa"/>
            <w:right w:w="15" w:type="dxa"/>
          </w:tblCellMar>
        </w:tblPrEx>
        <w:trPr>
          <w:trHeight w:val="409" w:hRule="atLeast"/>
          <w:jc w:val="center"/>
        </w:trPr>
        <w:tc>
          <w:tcPr>
            <w:tcW w:w="242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行政强制</w:t>
            </w:r>
          </w:p>
        </w:tc>
        <w:tc>
          <w:tcPr>
            <w:tcW w:w="6096"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0</w:t>
            </w:r>
          </w:p>
        </w:tc>
      </w:tr>
      <w:tr>
        <w:tblPrEx>
          <w:tblCellMar>
            <w:top w:w="15" w:type="dxa"/>
            <w:left w:w="15" w:type="dxa"/>
            <w:bottom w:w="15" w:type="dxa"/>
            <w:right w:w="15" w:type="dxa"/>
          </w:tblCellMar>
        </w:tblPrEx>
        <w:trPr>
          <w:trHeight w:val="339" w:hRule="atLeast"/>
          <w:jc w:val="center"/>
        </w:trPr>
        <w:tc>
          <w:tcPr>
            <w:tcW w:w="8525" w:type="dxa"/>
            <w:gridSpan w:val="4"/>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第二十条第（八）项</w:t>
            </w:r>
          </w:p>
        </w:tc>
      </w:tr>
      <w:tr>
        <w:tblPrEx>
          <w:tblCellMar>
            <w:top w:w="15" w:type="dxa"/>
            <w:left w:w="15" w:type="dxa"/>
            <w:bottom w:w="15" w:type="dxa"/>
            <w:right w:w="15" w:type="dxa"/>
          </w:tblCellMar>
        </w:tblPrEx>
        <w:trPr>
          <w:trHeight w:val="506" w:hRule="atLeast"/>
          <w:jc w:val="center"/>
        </w:trPr>
        <w:tc>
          <w:tcPr>
            <w:tcW w:w="242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信息内容</w:t>
            </w:r>
          </w:p>
        </w:tc>
        <w:tc>
          <w:tcPr>
            <w:tcW w:w="6096" w:type="dxa"/>
            <w:gridSpan w:val="3"/>
            <w:tcBorders>
              <w:top w:val="nil"/>
              <w:left w:val="nil"/>
              <w:bottom w:val="single" w:color="auto" w:sz="8" w:space="0"/>
              <w:right w:val="single" w:color="000000"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本年收费金额（单位：万元）</w:t>
            </w:r>
          </w:p>
        </w:tc>
      </w:tr>
      <w:tr>
        <w:tblPrEx>
          <w:tblCellMar>
            <w:top w:w="15" w:type="dxa"/>
            <w:left w:w="15" w:type="dxa"/>
            <w:bottom w:w="15" w:type="dxa"/>
            <w:right w:w="15" w:type="dxa"/>
          </w:tblCellMar>
        </w:tblPrEx>
        <w:trPr>
          <w:trHeight w:val="320" w:hRule="atLeast"/>
          <w:jc w:val="center"/>
        </w:trPr>
        <w:tc>
          <w:tcPr>
            <w:tcW w:w="242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i w:val="0"/>
                <w:caps w:val="0"/>
                <w:color w:val="auto"/>
                <w:spacing w:val="0"/>
                <w:kern w:val="0"/>
                <w:sz w:val="30"/>
                <w:szCs w:val="30"/>
                <w:lang w:val="en-US" w:eastAsia="zh-CN"/>
              </w:rPr>
              <w:t>行政事业性收费</w:t>
            </w:r>
          </w:p>
        </w:tc>
        <w:tc>
          <w:tcPr>
            <w:tcW w:w="6096" w:type="dxa"/>
            <w:gridSpan w:val="3"/>
            <w:tcBorders>
              <w:top w:val="nil"/>
              <w:left w:val="nil"/>
              <w:bottom w:val="single" w:color="auto" w:sz="8" w:space="0"/>
              <w:right w:val="single" w:color="000000"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0</w:t>
            </w:r>
          </w:p>
        </w:tc>
      </w:tr>
    </w:tbl>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right="0" w:rightChars="0"/>
        <w:jc w:val="left"/>
        <w:rPr>
          <w:rFonts w:hint="eastAsia" w:eastAsiaTheme="minorEastAsia"/>
          <w:highlight w:val="none"/>
          <w:lang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atLeast"/>
        <w:ind w:left="0" w:right="0" w:rightChars="0"/>
        <w:jc w:val="both"/>
        <w:textAlignment w:val="auto"/>
        <w:rPr>
          <w:rFonts w:hint="eastAsia" w:ascii="仿宋" w:hAnsi="仿宋" w:eastAsia="仿宋" w:cs="仿宋"/>
          <w:i w:val="0"/>
          <w:iCs w:val="0"/>
          <w:caps w:val="0"/>
          <w:color w:val="333333"/>
          <w:spacing w:val="0"/>
          <w:kern w:val="0"/>
          <w:sz w:val="32"/>
          <w:szCs w:val="32"/>
          <w:lang w:val="en-US" w:eastAsia="zh-CN" w:bidi="ar-SA"/>
        </w:rPr>
      </w:pPr>
      <w:r>
        <w:rPr>
          <w:rFonts w:hint="eastAsia" w:ascii="黑体" w:hAnsi="黑体" w:eastAsia="黑体" w:cs="黑体"/>
          <w:b w:val="0"/>
          <w:bCs w:val="0"/>
          <w:i w:val="0"/>
          <w:iCs w:val="0"/>
          <w:caps w:val="0"/>
          <w:color w:val="333333"/>
          <w:spacing w:val="0"/>
          <w:kern w:val="0"/>
          <w:sz w:val="32"/>
          <w:szCs w:val="32"/>
          <w:shd w:val="clear" w:color="auto" w:fill="FFFFFF"/>
          <w:lang w:val="en-US" w:eastAsia="zh-CN" w:bidi="ar-SA"/>
        </w:rPr>
        <w:t>三、收到和处理政府信息公开申请情况</w:t>
      </w:r>
    </w:p>
    <w:tbl>
      <w:tblPr>
        <w:tblStyle w:val="4"/>
        <w:tblW w:w="1040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1151"/>
        <w:gridCol w:w="915"/>
        <w:gridCol w:w="3385"/>
        <w:gridCol w:w="405"/>
        <w:gridCol w:w="735"/>
        <w:gridCol w:w="759"/>
        <w:gridCol w:w="870"/>
        <w:gridCol w:w="696"/>
        <w:gridCol w:w="714"/>
        <w:gridCol w:w="77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5451" w:type="dxa"/>
            <w:gridSpan w:val="3"/>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（本列数据的勾稽关系为：第一项加第二项之和，等于第三项加第四项之和）</w:t>
            </w:r>
          </w:p>
        </w:tc>
        <w:tc>
          <w:tcPr>
            <w:tcW w:w="4950" w:type="dxa"/>
            <w:gridSpan w:val="7"/>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5451" w:type="dxa"/>
            <w:gridSpan w:val="3"/>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caps w:val="0"/>
                <w:color w:val="auto"/>
                <w:spacing w:val="0"/>
                <w:sz w:val="24"/>
                <w:szCs w:val="24"/>
              </w:rPr>
            </w:pPr>
          </w:p>
        </w:tc>
        <w:tc>
          <w:tcPr>
            <w:tcW w:w="405"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自然人</w:t>
            </w:r>
          </w:p>
        </w:tc>
        <w:tc>
          <w:tcPr>
            <w:tcW w:w="3774"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法人或其他组织</w:t>
            </w:r>
          </w:p>
        </w:tc>
        <w:tc>
          <w:tcPr>
            <w:tcW w:w="771"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5451" w:type="dxa"/>
            <w:gridSpan w:val="3"/>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caps w:val="0"/>
                <w:color w:val="auto"/>
                <w:spacing w:val="0"/>
                <w:sz w:val="24"/>
                <w:szCs w:val="24"/>
              </w:rPr>
            </w:pPr>
          </w:p>
        </w:tc>
        <w:tc>
          <w:tcPr>
            <w:tcW w:w="40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caps w:val="0"/>
                <w:color w:val="auto"/>
                <w:spacing w:val="0"/>
                <w:sz w:val="24"/>
                <w:szCs w:val="24"/>
              </w:rPr>
            </w:pP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商业企业</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科研机构</w:t>
            </w:r>
          </w:p>
        </w:tc>
        <w:tc>
          <w:tcPr>
            <w:tcW w:w="870"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社会公益组织</w:t>
            </w:r>
          </w:p>
        </w:tc>
        <w:tc>
          <w:tcPr>
            <w:tcW w:w="69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法律服务机构</w:t>
            </w:r>
          </w:p>
        </w:tc>
        <w:tc>
          <w:tcPr>
            <w:tcW w:w="714"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其他</w:t>
            </w:r>
          </w:p>
        </w:tc>
        <w:tc>
          <w:tcPr>
            <w:tcW w:w="771"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caps w:val="0"/>
                <w:color w:val="auto"/>
                <w:spacing w:val="0"/>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5451" w:type="dxa"/>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一、本年新收政府信息公开申请数量</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5451" w:type="dxa"/>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二、上年结转政府信息公开申请数量</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三、本年度办理结果</w:t>
            </w:r>
          </w:p>
        </w:tc>
        <w:tc>
          <w:tcPr>
            <w:tcW w:w="4300"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（一）予以公开</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caps w:val="0"/>
                <w:color w:val="auto"/>
                <w:spacing w:val="0"/>
                <w:sz w:val="24"/>
                <w:szCs w:val="24"/>
              </w:rPr>
            </w:pPr>
          </w:p>
        </w:tc>
        <w:tc>
          <w:tcPr>
            <w:tcW w:w="4300"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（二）部分公开（区分处理的，只计这一情形，不计其他情形）</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（三）不予公开</w:t>
            </w: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1.属于国家秘密</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2.其他法律行政法规禁止公开</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3.危及“三安全一稳定”</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4.保护第三方合法权益</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640" w:hRule="atLeast"/>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5.属于三类内部事务信息</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6.属于四类过程性信息</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7.属于行政执法案卷</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8.属于行政查询事项</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（四）无法提供</w:t>
            </w: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1.本机关不掌握相关政府信息</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2.没有现成信息需要另行制作</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3.补正后申请内容仍不明确</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（五）不予处理</w:t>
            </w: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1.信访举报投诉类申请</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2.重复申请</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3.要求提供公开出版物</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38" w:hRule="atLeast"/>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4.无正当理由大量反复申请</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5.要求行政机关确认或重新出具已获取信息</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90" w:hRule="atLeast"/>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restart"/>
            <w:tcBorders>
              <w:top w:val="nil"/>
              <w:left w:val="nil"/>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（六）其他处理</w:t>
            </w: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1.申请人无正当理由逾期不补正、行政机关不再处理其政府信息公开申请</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left w:val="nil"/>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i w:val="0"/>
                <w:caps w:val="0"/>
                <w:color w:val="auto"/>
                <w:spacing w:val="0"/>
                <w:kern w:val="0"/>
                <w:sz w:val="24"/>
                <w:szCs w:val="24"/>
                <w:lang w:val="en-US" w:eastAsia="zh-CN"/>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2.申请人逾期未按收费通知要求缴纳费用、行政机关不再处理其政府信息公开申请</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915" w:type="dxa"/>
            <w:vMerge w:val="continue"/>
            <w:tcBorders>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i w:val="0"/>
                <w:caps w:val="0"/>
                <w:color w:val="auto"/>
                <w:spacing w:val="0"/>
                <w:kern w:val="0"/>
                <w:sz w:val="24"/>
                <w:szCs w:val="24"/>
                <w:lang w:val="en-US" w:eastAsia="zh-CN"/>
              </w:rPr>
            </w:pPr>
          </w:p>
        </w:tc>
        <w:tc>
          <w:tcPr>
            <w:tcW w:w="33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3.其他</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151"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4300"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i w:val="0"/>
                <w:caps w:val="0"/>
                <w:color w:val="auto"/>
                <w:spacing w:val="0"/>
                <w:kern w:val="0"/>
                <w:sz w:val="24"/>
                <w:szCs w:val="24"/>
                <w:lang w:val="en-US" w:eastAsia="zh-CN"/>
              </w:rPr>
            </w:pPr>
            <w:r>
              <w:rPr>
                <w:rFonts w:hint="eastAsia" w:ascii="仿宋_GB2312" w:hAnsi="仿宋_GB2312" w:eastAsia="仿宋_GB2312" w:cs="仿宋_GB2312"/>
                <w:i w:val="0"/>
                <w:caps w:val="0"/>
                <w:color w:val="auto"/>
                <w:spacing w:val="0"/>
                <w:kern w:val="0"/>
                <w:sz w:val="24"/>
                <w:szCs w:val="24"/>
                <w:lang w:val="en-US" w:eastAsia="zh-CN"/>
              </w:rPr>
              <w:t>（七）总计</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32" w:hRule="atLeast"/>
          <w:jc w:val="center"/>
        </w:trPr>
        <w:tc>
          <w:tcPr>
            <w:tcW w:w="5451" w:type="dxa"/>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四、结转下年度继续办理</w:t>
            </w:r>
          </w:p>
        </w:tc>
        <w:tc>
          <w:tcPr>
            <w:tcW w:w="4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6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c>
          <w:tcPr>
            <w:tcW w:w="7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0</w:t>
            </w:r>
          </w:p>
        </w:tc>
      </w:tr>
    </w:tbl>
    <w:p>
      <w:pPr>
        <w:keepNext w:val="0"/>
        <w:keepLines w:val="0"/>
        <w:pageBreakBefore w:val="0"/>
        <w:shd w:val="clear" w:color="auto" w:fill="auto"/>
        <w:kinsoku/>
        <w:wordWrap/>
        <w:overflowPunct/>
        <w:topLinePunct w:val="0"/>
        <w:autoSpaceDE/>
        <w:autoSpaceDN/>
        <w:bidi w:val="0"/>
        <w:adjustRightInd/>
        <w:snapToGrid/>
        <w:spacing w:line="560" w:lineRule="exact"/>
        <w:textAlignment w:val="auto"/>
        <w:rPr>
          <w:rFonts w:hint="eastAsia" w:ascii="黑体" w:hAnsi="黑体" w:eastAsia="黑体" w:cs="黑体"/>
          <w:i w:val="0"/>
          <w:caps w:val="0"/>
          <w:color w:val="auto"/>
          <w:spacing w:val="0"/>
          <w:sz w:val="32"/>
          <w:szCs w:val="32"/>
          <w:shd w:val="clear" w:color="auto" w:fill="FFFFFF"/>
        </w:rPr>
      </w:pPr>
      <w:r>
        <w:rPr>
          <w:rFonts w:hint="eastAsia" w:ascii="黑体" w:hAnsi="黑体" w:eastAsia="黑体" w:cs="黑体"/>
          <w:i w:val="0"/>
          <w:caps w:val="0"/>
          <w:color w:val="auto"/>
          <w:spacing w:val="0"/>
          <w:sz w:val="32"/>
          <w:szCs w:val="32"/>
          <w:shd w:val="clear" w:color="auto" w:fill="FFFFFF"/>
        </w:rPr>
        <w:t>四、政务公开行政复议、行政诉讼情况</w:t>
      </w:r>
    </w:p>
    <w:tbl>
      <w:tblPr>
        <w:tblStyle w:val="4"/>
        <w:tblpPr w:leftFromText="180" w:rightFromText="180" w:vertAnchor="text" w:horzAnchor="page" w:tblpXSpec="center" w:tblpY="622"/>
        <w:tblOverlap w:val="never"/>
        <w:tblW w:w="1137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786"/>
        <w:gridCol w:w="795"/>
        <w:gridCol w:w="709"/>
        <w:gridCol w:w="766"/>
        <w:gridCol w:w="679"/>
        <w:gridCol w:w="769"/>
        <w:gridCol w:w="841"/>
        <w:gridCol w:w="764"/>
        <w:gridCol w:w="764"/>
        <w:gridCol w:w="568"/>
        <w:gridCol w:w="794"/>
        <w:gridCol w:w="929"/>
        <w:gridCol w:w="764"/>
        <w:gridCol w:w="764"/>
        <w:gridCol w:w="68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22" w:hRule="atLeast"/>
          <w:jc w:val="center"/>
        </w:trPr>
        <w:tc>
          <w:tcPr>
            <w:tcW w:w="3735" w:type="dxa"/>
            <w:gridSpan w:val="5"/>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i w:val="0"/>
                <w:caps w:val="0"/>
                <w:color w:val="auto"/>
                <w:spacing w:val="0"/>
                <w:kern w:val="0"/>
                <w:sz w:val="24"/>
                <w:szCs w:val="24"/>
                <w:lang w:val="en-US" w:eastAsia="zh-CN"/>
              </w:rPr>
            </w:pPr>
            <w:r>
              <w:rPr>
                <w:rFonts w:hint="eastAsia" w:ascii="仿宋_GB2312" w:hAnsi="仿宋_GB2312" w:eastAsia="仿宋_GB2312" w:cs="仿宋_GB2312"/>
                <w:i w:val="0"/>
                <w:caps w:val="0"/>
                <w:color w:val="auto"/>
                <w:spacing w:val="0"/>
                <w:kern w:val="0"/>
                <w:sz w:val="24"/>
                <w:szCs w:val="24"/>
                <w:lang w:val="en-US" w:eastAsia="zh-CN"/>
              </w:rPr>
              <w:t>行政复议</w:t>
            </w:r>
          </w:p>
        </w:tc>
        <w:tc>
          <w:tcPr>
            <w:tcW w:w="7639" w:type="dxa"/>
            <w:gridSpan w:val="10"/>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i w:val="0"/>
                <w:caps w:val="0"/>
                <w:color w:val="auto"/>
                <w:spacing w:val="0"/>
                <w:kern w:val="0"/>
                <w:sz w:val="24"/>
                <w:szCs w:val="24"/>
                <w:lang w:val="en-US" w:eastAsia="zh-CN"/>
              </w:rPr>
            </w:pPr>
            <w:r>
              <w:rPr>
                <w:rFonts w:hint="eastAsia" w:ascii="仿宋_GB2312" w:hAnsi="仿宋_GB2312" w:eastAsia="仿宋_GB2312" w:cs="仿宋_GB2312"/>
                <w:i w:val="0"/>
                <w:caps w:val="0"/>
                <w:color w:val="auto"/>
                <w:spacing w:val="0"/>
                <w:kern w:val="0"/>
                <w:sz w:val="24"/>
                <w:szCs w:val="24"/>
                <w:lang w:val="en-US" w:eastAsia="zh-CN"/>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0" w:hRule="atLeast"/>
          <w:jc w:val="center"/>
        </w:trPr>
        <w:tc>
          <w:tcPr>
            <w:tcW w:w="786" w:type="dxa"/>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结果维持</w:t>
            </w:r>
          </w:p>
        </w:tc>
        <w:tc>
          <w:tcPr>
            <w:tcW w:w="795"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结果纠正</w:t>
            </w:r>
          </w:p>
        </w:tc>
        <w:tc>
          <w:tcPr>
            <w:tcW w:w="709"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其他结果</w:t>
            </w:r>
          </w:p>
        </w:tc>
        <w:tc>
          <w:tcPr>
            <w:tcW w:w="766"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尚未审结</w:t>
            </w:r>
          </w:p>
        </w:tc>
        <w:tc>
          <w:tcPr>
            <w:tcW w:w="679"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总计</w:t>
            </w:r>
          </w:p>
        </w:tc>
        <w:tc>
          <w:tcPr>
            <w:tcW w:w="3706"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未经复议直接起诉</w:t>
            </w:r>
          </w:p>
        </w:tc>
        <w:tc>
          <w:tcPr>
            <w:tcW w:w="3933"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2" w:hRule="atLeast"/>
          <w:jc w:val="center"/>
        </w:trPr>
        <w:tc>
          <w:tcPr>
            <w:tcW w:w="786"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sz w:val="24"/>
                <w:szCs w:val="24"/>
              </w:rPr>
            </w:pPr>
          </w:p>
        </w:tc>
        <w:tc>
          <w:tcPr>
            <w:tcW w:w="795"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sz w:val="24"/>
                <w:szCs w:val="24"/>
              </w:rPr>
            </w:pPr>
          </w:p>
        </w:tc>
        <w:tc>
          <w:tcPr>
            <w:tcW w:w="709"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sz w:val="24"/>
                <w:szCs w:val="24"/>
              </w:rPr>
            </w:pPr>
          </w:p>
        </w:tc>
        <w:tc>
          <w:tcPr>
            <w:tcW w:w="766"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sz w:val="24"/>
                <w:szCs w:val="24"/>
              </w:rPr>
            </w:pPr>
          </w:p>
        </w:tc>
        <w:tc>
          <w:tcPr>
            <w:tcW w:w="679"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caps w:val="0"/>
                <w:color w:val="auto"/>
                <w:spacing w:val="0"/>
                <w:sz w:val="24"/>
                <w:szCs w:val="24"/>
              </w:rPr>
            </w:pPr>
          </w:p>
        </w:tc>
        <w:tc>
          <w:tcPr>
            <w:tcW w:w="76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结果维持</w:t>
            </w:r>
          </w:p>
        </w:tc>
        <w:tc>
          <w:tcPr>
            <w:tcW w:w="8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结果纠正</w:t>
            </w:r>
          </w:p>
        </w:tc>
        <w:tc>
          <w:tcPr>
            <w:tcW w:w="764"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其他结果</w:t>
            </w:r>
          </w:p>
        </w:tc>
        <w:tc>
          <w:tcPr>
            <w:tcW w:w="764"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尚未审结</w:t>
            </w:r>
          </w:p>
        </w:tc>
        <w:tc>
          <w:tcPr>
            <w:tcW w:w="568"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总计</w:t>
            </w:r>
          </w:p>
        </w:tc>
        <w:tc>
          <w:tcPr>
            <w:tcW w:w="794"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结果维持</w:t>
            </w:r>
          </w:p>
        </w:tc>
        <w:tc>
          <w:tcPr>
            <w:tcW w:w="929"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结果纠正</w:t>
            </w:r>
          </w:p>
        </w:tc>
        <w:tc>
          <w:tcPr>
            <w:tcW w:w="764"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其他结果</w:t>
            </w:r>
          </w:p>
        </w:tc>
        <w:tc>
          <w:tcPr>
            <w:tcW w:w="764"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尚未审结</w:t>
            </w:r>
          </w:p>
        </w:tc>
        <w:tc>
          <w:tcPr>
            <w:tcW w:w="68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caps w:val="0"/>
                <w:color w:val="auto"/>
                <w:spacing w:val="0"/>
                <w:kern w:val="0"/>
                <w:sz w:val="24"/>
                <w:szCs w:val="24"/>
                <w:lang w:val="en-US" w:eastAsia="zh-C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8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7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7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6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76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8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76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76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79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9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76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76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c>
          <w:tcPr>
            <w:tcW w:w="6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32"/>
                <w:szCs w:val="32"/>
                <w:lang w:val="en-US" w:eastAsia="zh-CN"/>
              </w:rPr>
              <w:t>0</w:t>
            </w:r>
          </w:p>
        </w:tc>
      </w:tr>
    </w:tbl>
    <w:p>
      <w:pPr>
        <w:numPr>
          <w:ilvl w:val="0"/>
          <w:numId w:val="0"/>
        </w:numPr>
        <w:ind w:left="320" w:leftChars="0"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存在的主要问题及改进情况</w:t>
      </w:r>
    </w:p>
    <w:p>
      <w:pPr>
        <w:numPr>
          <w:ilvl w:val="0"/>
          <w:numId w:val="0"/>
        </w:numPr>
        <w:ind w:left="320" w:leftChars="0" w:firstLine="320" w:firstLineChars="100"/>
        <w:jc w:val="left"/>
        <w:rPr>
          <w:rFonts w:hint="eastAsia" w:ascii="仿宋" w:hAnsi="仿宋" w:eastAsia="仿宋" w:cs="仿宋"/>
          <w:kern w:val="0"/>
          <w:sz w:val="32"/>
          <w:szCs w:val="32"/>
          <w:shd w:val="clear" w:color="auto" w:fill="FFFFFF"/>
          <w:lang w:val="en-US" w:eastAsia="zh-CN" w:bidi="ar-SA"/>
        </w:rPr>
      </w:pPr>
      <w:r>
        <w:rPr>
          <w:rFonts w:hint="eastAsia" w:ascii="仿宋" w:hAnsi="仿宋" w:eastAsia="仿宋" w:cs="仿宋"/>
          <w:kern w:val="0"/>
          <w:sz w:val="32"/>
          <w:szCs w:val="32"/>
          <w:shd w:val="clear" w:color="auto" w:fill="FFFFFF"/>
          <w:lang w:val="en-US" w:eastAsia="zh-CN" w:bidi="ar-SA"/>
        </w:rPr>
        <w:t>2022年政府信息公开工作中主要存在政务信息公开内容格式不规范，存错别字、格式混乱等问题;信息公开时效性不足，存在内容公开事项滞后题;新旧政务公开平台迁移工作不够完善的问题。我中心将从三个面认真改进。 一是统一规范政务公开信息格式和内容，对各科室报送的政务开信息认真宙核。二是保证信息公开的时效性，督促各科室在完成相关工作后，及攥写信息上传到政务公开平台，方便公众能够及时查询最新信息。三是认真理新旧政务平台相关目录，按照要求对新平台政府信息公开目录补充完善，好旧平台数据迁移工作。</w:t>
      </w:r>
    </w:p>
    <w:p>
      <w:pPr>
        <w:numPr>
          <w:ilvl w:val="0"/>
          <w:numId w:val="0"/>
        </w:numPr>
        <w:ind w:left="320" w:leftChars="0" w:firstLine="320" w:firstLineChars="100"/>
        <w:jc w:val="left"/>
        <w:rPr>
          <w:rFonts w:hint="eastAsia" w:ascii="仿宋" w:hAnsi="仿宋" w:eastAsia="仿宋" w:cs="仿宋"/>
          <w:kern w:val="0"/>
          <w:sz w:val="32"/>
          <w:szCs w:val="32"/>
          <w:shd w:val="clear" w:color="auto" w:fill="FFFFFF"/>
          <w:lang w:val="en-US" w:eastAsia="zh-CN" w:bidi="ar-SA"/>
        </w:rPr>
      </w:pPr>
      <w:r>
        <w:rPr>
          <w:rFonts w:hint="eastAsia" w:ascii="仿宋" w:hAnsi="仿宋" w:eastAsia="仿宋" w:cs="仿宋"/>
          <w:kern w:val="0"/>
          <w:sz w:val="32"/>
          <w:szCs w:val="32"/>
          <w:shd w:val="clear" w:color="auto" w:fill="FFFFFF"/>
          <w:lang w:val="en-US" w:eastAsia="zh-CN" w:bidi="ar-SA"/>
        </w:rPr>
        <w:t>六、其他需要报告的事项</w:t>
      </w:r>
    </w:p>
    <w:p>
      <w:pPr>
        <w:ind w:firstLine="640" w:firstLineChars="200"/>
        <w:rPr>
          <w:rFonts w:hint="eastAsia" w:ascii="仿宋" w:hAnsi="仿宋" w:eastAsia="仿宋" w:cs="仿宋"/>
          <w:kern w:val="0"/>
          <w:sz w:val="32"/>
          <w:szCs w:val="32"/>
          <w:shd w:val="clear" w:color="auto" w:fill="FFFFFF"/>
          <w:lang w:val="en-US" w:eastAsia="zh-CN" w:bidi="ar-SA"/>
        </w:rPr>
      </w:pPr>
      <w:r>
        <w:rPr>
          <w:rFonts w:hint="eastAsia" w:ascii="仿宋" w:hAnsi="仿宋" w:eastAsia="仿宋" w:cs="仿宋"/>
          <w:kern w:val="0"/>
          <w:sz w:val="32"/>
          <w:szCs w:val="32"/>
          <w:shd w:val="clear" w:color="auto" w:fill="FFFFFF"/>
          <w:lang w:val="en-US" w:eastAsia="zh-CN" w:bidi="ar-SA"/>
        </w:rPr>
        <w:t>根据《政府信息公开信息处理费管理办法》的规定，本年度未收取任何信息处理费。无其他报告事项。</w:t>
      </w:r>
      <w:r>
        <w:rPr>
          <w:rFonts w:hint="default" w:ascii="仿宋" w:hAnsi="仿宋" w:eastAsia="仿宋" w:cs="仿宋"/>
          <w:kern w:val="0"/>
          <w:sz w:val="32"/>
          <w:szCs w:val="32"/>
          <w:shd w:val="clear" w:color="auto" w:fill="FFFFFF"/>
          <w:lang w:val="en-US" w:eastAsia="zh-CN" w:bidi="ar-SA"/>
        </w:rPr>
        <w:t xml:space="preserve">            </w:t>
      </w:r>
      <w:r>
        <w:rPr>
          <w:rFonts w:hint="eastAsia" w:ascii="仿宋" w:hAnsi="仿宋" w:eastAsia="仿宋" w:cs="仿宋"/>
          <w:kern w:val="0"/>
          <w:sz w:val="32"/>
          <w:szCs w:val="32"/>
          <w:shd w:val="clear" w:color="auto" w:fill="FFFFFF"/>
          <w:lang w:val="en-US" w:eastAsia="zh-CN" w:bidi="ar-SA"/>
        </w:rPr>
        <w:t xml:space="preserve">                         </w:t>
      </w:r>
    </w:p>
    <w:p>
      <w:pPr>
        <w:ind w:firstLine="3200" w:firstLineChars="1000"/>
        <w:rPr>
          <w:rFonts w:hint="eastAsia" w:ascii="仿宋" w:hAnsi="仿宋" w:eastAsia="仿宋" w:cs="仿宋"/>
          <w:kern w:val="0"/>
          <w:sz w:val="32"/>
          <w:szCs w:val="32"/>
          <w:shd w:val="clear" w:color="auto" w:fill="FFFFFF"/>
          <w:lang w:val="en-US" w:eastAsia="zh-CN" w:bidi="ar-SA"/>
        </w:rPr>
      </w:pPr>
    </w:p>
    <w:p>
      <w:pPr>
        <w:ind w:firstLine="5120" w:firstLineChars="1600"/>
        <w:rPr>
          <w:rFonts w:hint="default" w:ascii="仿宋" w:hAnsi="仿宋" w:eastAsia="仿宋" w:cs="仿宋"/>
          <w:kern w:val="0"/>
          <w:sz w:val="32"/>
          <w:szCs w:val="32"/>
          <w:shd w:val="clear" w:color="auto" w:fill="FFFFFF"/>
          <w:lang w:val="en-US" w:eastAsia="zh-CN" w:bidi="ar-SA"/>
        </w:rPr>
      </w:pPr>
      <w:r>
        <w:rPr>
          <w:rFonts w:hint="default" w:ascii="仿宋" w:hAnsi="仿宋" w:eastAsia="仿宋" w:cs="仿宋"/>
          <w:kern w:val="0"/>
          <w:sz w:val="32"/>
          <w:szCs w:val="32"/>
          <w:shd w:val="clear" w:color="auto" w:fill="FFFFFF"/>
          <w:lang w:val="en-US" w:eastAsia="zh-CN" w:bidi="ar-SA"/>
        </w:rPr>
        <w:t>同和太种畜繁育中心</w:t>
      </w:r>
    </w:p>
    <w:p>
      <w:pPr>
        <w:tabs>
          <w:tab w:val="left" w:pos="434"/>
        </w:tabs>
        <w:ind w:firstLine="640"/>
        <w:rPr>
          <w:rFonts w:hint="default" w:ascii="仿宋" w:hAnsi="仿宋" w:eastAsia="仿宋" w:cs="仿宋"/>
          <w:kern w:val="0"/>
          <w:sz w:val="32"/>
          <w:szCs w:val="32"/>
          <w:shd w:val="clear" w:color="auto" w:fill="FFFFFF"/>
          <w:lang w:val="en-US" w:eastAsia="zh-CN" w:bidi="ar-SA"/>
        </w:rPr>
      </w:pPr>
      <w:r>
        <w:rPr>
          <w:rFonts w:hint="eastAsia" w:ascii="仿宋" w:hAnsi="仿宋" w:eastAsia="仿宋" w:cs="仿宋"/>
          <w:kern w:val="0"/>
          <w:sz w:val="32"/>
          <w:szCs w:val="32"/>
          <w:shd w:val="clear" w:color="auto" w:fill="FFFFFF"/>
          <w:lang w:val="en-US" w:eastAsia="zh-CN" w:bidi="ar-SA"/>
        </w:rPr>
        <w:tab/>
      </w:r>
      <w:r>
        <w:rPr>
          <w:rFonts w:hint="eastAsia" w:ascii="仿宋" w:hAnsi="仿宋" w:eastAsia="仿宋" w:cs="仿宋"/>
          <w:kern w:val="0"/>
          <w:sz w:val="32"/>
          <w:szCs w:val="32"/>
          <w:shd w:val="clear" w:color="auto" w:fill="FFFFFF"/>
          <w:lang w:val="en-US" w:eastAsia="zh-CN" w:bidi="ar-SA"/>
        </w:rPr>
        <w:t xml:space="preserve">                            </w:t>
      </w:r>
      <w:r>
        <w:rPr>
          <w:rFonts w:hint="default" w:ascii="仿宋" w:hAnsi="仿宋" w:eastAsia="仿宋" w:cs="仿宋"/>
          <w:kern w:val="0"/>
          <w:sz w:val="32"/>
          <w:szCs w:val="32"/>
          <w:shd w:val="clear" w:color="auto" w:fill="FFFFFF"/>
          <w:lang w:val="en-US" w:eastAsia="zh-CN" w:bidi="ar-SA"/>
        </w:rPr>
        <w:t>202</w:t>
      </w:r>
      <w:r>
        <w:rPr>
          <w:rFonts w:hint="eastAsia" w:ascii="仿宋" w:hAnsi="仿宋" w:eastAsia="仿宋" w:cs="仿宋"/>
          <w:kern w:val="0"/>
          <w:sz w:val="32"/>
          <w:szCs w:val="32"/>
          <w:shd w:val="clear" w:color="auto" w:fill="FFFFFF"/>
          <w:lang w:val="en-US" w:eastAsia="zh-CN" w:bidi="ar-SA"/>
        </w:rPr>
        <w:t>3</w:t>
      </w:r>
      <w:r>
        <w:rPr>
          <w:rFonts w:hint="default" w:ascii="仿宋" w:hAnsi="仿宋" w:eastAsia="仿宋" w:cs="仿宋"/>
          <w:kern w:val="0"/>
          <w:sz w:val="32"/>
          <w:szCs w:val="32"/>
          <w:shd w:val="clear" w:color="auto" w:fill="FFFFFF"/>
          <w:lang w:val="en-US" w:eastAsia="zh-CN" w:bidi="ar-SA"/>
        </w:rPr>
        <w:t>年1月12日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西文正文">
    <w:altName w:val="Menk Amglang Tig"/>
    <w:panose1 w:val="00000000000000000000"/>
    <w:charset w:val="00"/>
    <w:family w:val="auto"/>
    <w:pitch w:val="default"/>
    <w:sig w:usb0="00000000" w:usb1="00000000" w:usb2="00000000" w:usb3="00000000" w:csb0="00000000" w:csb1="00000000"/>
  </w:font>
  <w:font w:name="+中文正文">
    <w:altName w:val="Menk Amglang Tig"/>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3NWU1MmEwZTcyZmJmZmQ4YzE5ODM3NDhhYjllMDUifQ=="/>
  </w:docVars>
  <w:rsids>
    <w:rsidRoot w:val="00172A27"/>
    <w:rsid w:val="003E3D6F"/>
    <w:rsid w:val="01253372"/>
    <w:rsid w:val="01D315AF"/>
    <w:rsid w:val="021C051E"/>
    <w:rsid w:val="031A67DB"/>
    <w:rsid w:val="03ED2677"/>
    <w:rsid w:val="058A5E9A"/>
    <w:rsid w:val="05B253F0"/>
    <w:rsid w:val="086C1376"/>
    <w:rsid w:val="096215FD"/>
    <w:rsid w:val="0A00098E"/>
    <w:rsid w:val="0A5B7E05"/>
    <w:rsid w:val="0F0F5662"/>
    <w:rsid w:val="0F265058"/>
    <w:rsid w:val="131653AD"/>
    <w:rsid w:val="142C2A67"/>
    <w:rsid w:val="178F10EE"/>
    <w:rsid w:val="18A312F5"/>
    <w:rsid w:val="198C7FDB"/>
    <w:rsid w:val="19A3737E"/>
    <w:rsid w:val="1B283D33"/>
    <w:rsid w:val="224F6049"/>
    <w:rsid w:val="23EB6515"/>
    <w:rsid w:val="24B33E88"/>
    <w:rsid w:val="279544FE"/>
    <w:rsid w:val="29AC3D81"/>
    <w:rsid w:val="2B8054C5"/>
    <w:rsid w:val="2CA945A8"/>
    <w:rsid w:val="2CAD7478"/>
    <w:rsid w:val="2D6D1534"/>
    <w:rsid w:val="2DFF42B1"/>
    <w:rsid w:val="302341AF"/>
    <w:rsid w:val="316118F5"/>
    <w:rsid w:val="325E7BE3"/>
    <w:rsid w:val="32664A29"/>
    <w:rsid w:val="342A3DB8"/>
    <w:rsid w:val="34856C9D"/>
    <w:rsid w:val="36145188"/>
    <w:rsid w:val="372E04CB"/>
    <w:rsid w:val="38795BE6"/>
    <w:rsid w:val="39C17AA3"/>
    <w:rsid w:val="3B691AD2"/>
    <w:rsid w:val="3E3046B7"/>
    <w:rsid w:val="3E5233E2"/>
    <w:rsid w:val="3EBA6F59"/>
    <w:rsid w:val="41A545C9"/>
    <w:rsid w:val="42F00D2B"/>
    <w:rsid w:val="44653E38"/>
    <w:rsid w:val="462A5900"/>
    <w:rsid w:val="47C52A22"/>
    <w:rsid w:val="47D06A35"/>
    <w:rsid w:val="48B56960"/>
    <w:rsid w:val="49ED1B20"/>
    <w:rsid w:val="4A835FE1"/>
    <w:rsid w:val="4AB44216"/>
    <w:rsid w:val="4D783DF7"/>
    <w:rsid w:val="4E17716C"/>
    <w:rsid w:val="4EB946C7"/>
    <w:rsid w:val="4ED6638B"/>
    <w:rsid w:val="50AC6291"/>
    <w:rsid w:val="50FB2D75"/>
    <w:rsid w:val="523A78CD"/>
    <w:rsid w:val="525E348F"/>
    <w:rsid w:val="55C43B1B"/>
    <w:rsid w:val="5886386C"/>
    <w:rsid w:val="58F05189"/>
    <w:rsid w:val="59A246D5"/>
    <w:rsid w:val="5B615ECA"/>
    <w:rsid w:val="5D1A28D7"/>
    <w:rsid w:val="5D4930BA"/>
    <w:rsid w:val="5DF14932"/>
    <w:rsid w:val="5FC058B5"/>
    <w:rsid w:val="60501FDB"/>
    <w:rsid w:val="62CA25A7"/>
    <w:rsid w:val="64155AA4"/>
    <w:rsid w:val="64C81800"/>
    <w:rsid w:val="67A21D44"/>
    <w:rsid w:val="6AC2781C"/>
    <w:rsid w:val="6CC91B21"/>
    <w:rsid w:val="6DE24C48"/>
    <w:rsid w:val="6EFD5AB2"/>
    <w:rsid w:val="706933FF"/>
    <w:rsid w:val="72537374"/>
    <w:rsid w:val="751C768E"/>
    <w:rsid w:val="7568025C"/>
    <w:rsid w:val="7BD745FA"/>
    <w:rsid w:val="7C0858B0"/>
    <w:rsid w:val="7C5807CC"/>
    <w:rsid w:val="7CCD740C"/>
    <w:rsid w:val="7D284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ind w:firstLine="0" w:firstLineChars="0"/>
      <w:jc w:val="center"/>
      <w:outlineLvl w:val="0"/>
    </w:pPr>
    <w:rPr>
      <w:rFonts w:eastAsia="方正小标宋简体" w:asciiTheme="minorAscii" w:hAnsiTheme="minorAscii"/>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2066</Words>
  <Characters>2141</Characters>
  <Lines>1</Lines>
  <Paragraphs>1</Paragraphs>
  <TotalTime>15</TotalTime>
  <ScaleCrop>false</ScaleCrop>
  <LinksUpToDate>false</LinksUpToDate>
  <CharactersWithSpaces>2210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2022-01-05T07:15:00Z</dcterms:created>
  <dc:creator>Аичир</dc:creator>
  <cp:lastModifiedBy>倩儿</cp:lastModifiedBy>
  <cp:lastPrinted>2023-01-17T07:41:21Z</cp:lastPrinted>
  <dcterms:modified xsi:type="dcterms:W3CDTF">2023-01-17T07:41:51Z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4844ABF1D0C24B8E898E14FE137D6CDC</vt:lpwstr>
  </property>
</Properties>
</file>