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20" w:lineRule="exact"/>
        <w:rPr>
          <w:rFonts w:hint="eastAsia" w:ascii="仿宋" w:hAnsi="仿宋" w:eastAsia="仿宋" w:cs="宋体"/>
          <w:color w:val="auto"/>
          <w:spacing w:val="8"/>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华文仿宋" w:hAnsi="华文仿宋" w:eastAsia="华文仿宋" w:cs="华文仿宋"/>
          <w:b/>
          <w:bCs/>
          <w:color w:val="auto"/>
          <w:sz w:val="44"/>
          <w:szCs w:val="44"/>
          <w:highlight w:val="none"/>
          <w:lang w:eastAsia="zh-CN"/>
        </w:rPr>
      </w:pPr>
      <w:r>
        <w:rPr>
          <w:rFonts w:hint="eastAsia" w:ascii="华文仿宋" w:hAnsi="华文仿宋" w:eastAsia="华文仿宋" w:cs="华文仿宋"/>
          <w:b/>
          <w:bCs/>
          <w:color w:val="auto"/>
          <w:sz w:val="44"/>
          <w:szCs w:val="44"/>
        </w:rPr>
        <w:t>残疾人两项补贴政策告知</w:t>
      </w:r>
      <w:r>
        <w:rPr>
          <w:rFonts w:hint="eastAsia" w:ascii="华文仿宋" w:hAnsi="华文仿宋" w:eastAsia="华文仿宋" w:cs="华文仿宋"/>
          <w:b/>
          <w:bCs/>
          <w:color w:val="auto"/>
          <w:sz w:val="44"/>
          <w:szCs w:val="44"/>
          <w:highlight w:val="none"/>
          <w:lang w:eastAsia="zh-CN"/>
        </w:rPr>
        <w:t>单</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华文仿宋" w:hAnsi="华文仿宋" w:eastAsia="华文仿宋" w:cs="华文仿宋"/>
          <w:color w:val="auto"/>
          <w:sz w:val="28"/>
          <w:szCs w:val="28"/>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各位残疾人朋友:</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lang w:val="en-US" w:eastAsia="zh-CN"/>
        </w:rPr>
        <w:t xml:space="preserve">    党和政府高度重视残疾人福利保障工作，为解决残疾人特殊生活困难，</w:t>
      </w:r>
      <w:r>
        <w:rPr>
          <w:rFonts w:hint="eastAsia" w:ascii="华文仿宋" w:hAnsi="华文仿宋" w:eastAsia="华文仿宋" w:cs="华文仿宋"/>
          <w:color w:val="auto"/>
          <w:sz w:val="32"/>
          <w:szCs w:val="32"/>
        </w:rPr>
        <w:t>我</w:t>
      </w:r>
      <w:r>
        <w:rPr>
          <w:rFonts w:hint="eastAsia" w:ascii="华文仿宋" w:hAnsi="华文仿宋" w:eastAsia="华文仿宋" w:cs="华文仿宋"/>
          <w:color w:val="auto"/>
          <w:sz w:val="32"/>
          <w:szCs w:val="32"/>
          <w:lang w:eastAsia="zh-CN"/>
        </w:rPr>
        <w:t>区</w:t>
      </w:r>
      <w:r>
        <w:rPr>
          <w:rFonts w:hint="eastAsia" w:ascii="华文仿宋" w:hAnsi="华文仿宋" w:eastAsia="华文仿宋" w:cs="华文仿宋"/>
          <w:color w:val="auto"/>
          <w:sz w:val="32"/>
          <w:szCs w:val="32"/>
        </w:rPr>
        <w:t>建立了困难残疾人生活补贴和重度残疾人护理补贴制度，为保障您的合法权益，现将有关情况告知您：</w:t>
      </w:r>
    </w:p>
    <w:p>
      <w:pPr>
        <w:keepNext w:val="0"/>
        <w:keepLines w:val="0"/>
        <w:pageBreakBefore w:val="0"/>
        <w:widowControl w:val="0"/>
        <w:numPr>
          <w:ilvl w:val="0"/>
          <w:numId w:val="1"/>
        </w:numPr>
        <w:kinsoku/>
        <w:wordWrap/>
        <w:overflowPunct/>
        <w:topLinePunct w:val="0"/>
        <w:autoSpaceDE/>
        <w:autoSpaceDN/>
        <w:bidi w:val="0"/>
        <w:adjustRightInd/>
        <w:snapToGrid/>
        <w:spacing w:line="420" w:lineRule="exact"/>
        <w:ind w:left="640" w:leftChars="0" w:firstLine="0" w:firstLineChars="0"/>
        <w:textAlignment w:val="auto"/>
        <w:outlineLvl w:val="9"/>
        <w:rPr>
          <w:rFonts w:hint="eastAsia" w:ascii="华文仿宋" w:hAnsi="华文仿宋" w:eastAsia="华文仿宋" w:cs="华文仿宋"/>
          <w:color w:val="auto"/>
          <w:sz w:val="32"/>
          <w:szCs w:val="32"/>
          <w:lang w:val="en-US" w:eastAsia="zh-CN"/>
        </w:rPr>
      </w:pPr>
      <w:r>
        <w:rPr>
          <w:rFonts w:hint="eastAsia" w:ascii="黑体" w:hAnsi="黑体" w:eastAsia="黑体" w:cs="黑体"/>
          <w:color w:val="auto"/>
          <w:sz w:val="32"/>
          <w:szCs w:val="32"/>
          <w:lang w:val="en-US" w:eastAsia="zh-CN"/>
        </w:rPr>
        <w:t>补贴对象认定标准</w:t>
      </w:r>
      <w:r>
        <w:rPr>
          <w:rFonts w:hint="eastAsia" w:ascii="华文仿宋" w:hAnsi="华文仿宋" w:eastAsia="华文仿宋" w:cs="华文仿宋"/>
          <w:color w:val="auto"/>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640" w:firstLineChars="200"/>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困难残疾人生活补贴主要补助残疾人因残疾产生的额外生活支出，对象为具有</w:t>
      </w:r>
      <w:r>
        <w:rPr>
          <w:rFonts w:hint="eastAsia" w:ascii="华文仿宋" w:hAnsi="华文仿宋" w:eastAsia="华文仿宋" w:cs="华文仿宋"/>
          <w:color w:val="auto"/>
          <w:sz w:val="32"/>
          <w:szCs w:val="32"/>
          <w:lang w:eastAsia="zh-CN"/>
        </w:rPr>
        <w:t>内蒙古自治区</w:t>
      </w:r>
      <w:r>
        <w:rPr>
          <w:rFonts w:hint="eastAsia" w:ascii="华文仿宋" w:hAnsi="华文仿宋" w:eastAsia="华文仿宋" w:cs="华文仿宋"/>
          <w:color w:val="auto"/>
          <w:sz w:val="32"/>
          <w:szCs w:val="32"/>
        </w:rPr>
        <w:t>户籍</w:t>
      </w:r>
      <w:r>
        <w:rPr>
          <w:rFonts w:hint="eastAsia" w:ascii="华文仿宋" w:hAnsi="华文仿宋" w:eastAsia="华文仿宋" w:cs="华文仿宋"/>
          <w:color w:val="auto"/>
          <w:sz w:val="32"/>
          <w:szCs w:val="32"/>
          <w:lang w:eastAsia="zh-CN"/>
        </w:rPr>
        <w:t>、</w:t>
      </w:r>
      <w:r>
        <w:rPr>
          <w:rFonts w:hint="eastAsia" w:ascii="华文仿宋" w:hAnsi="华文仿宋" w:eastAsia="华文仿宋" w:cs="华文仿宋"/>
          <w:color w:val="auto"/>
          <w:sz w:val="32"/>
          <w:szCs w:val="32"/>
        </w:rPr>
        <w:t>持有《中华人民共和国残疾人证》的低保家庭中的残疾人。</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lang w:val="en-US" w:eastAsia="zh-CN"/>
        </w:rPr>
        <w:t xml:space="preserve">    </w:t>
      </w:r>
      <w:r>
        <w:rPr>
          <w:rFonts w:hint="eastAsia" w:ascii="华文仿宋" w:hAnsi="华文仿宋" w:eastAsia="华文仿宋" w:cs="华文仿宋"/>
          <w:color w:val="auto"/>
          <w:sz w:val="32"/>
          <w:szCs w:val="32"/>
        </w:rPr>
        <w:t>重度残疾人护理补贴主要补助残疾人因残疾产生的额外长期照护支出，对象为具有</w:t>
      </w:r>
      <w:r>
        <w:rPr>
          <w:rFonts w:hint="eastAsia" w:ascii="华文仿宋" w:hAnsi="华文仿宋" w:eastAsia="华文仿宋" w:cs="华文仿宋"/>
          <w:color w:val="auto"/>
          <w:sz w:val="32"/>
          <w:szCs w:val="32"/>
          <w:lang w:eastAsia="zh-CN"/>
        </w:rPr>
        <w:t>内蒙古自治区</w:t>
      </w:r>
      <w:r>
        <w:rPr>
          <w:rFonts w:hint="eastAsia" w:ascii="华文仿宋" w:hAnsi="华文仿宋" w:eastAsia="华文仿宋" w:cs="华文仿宋"/>
          <w:color w:val="auto"/>
          <w:sz w:val="32"/>
          <w:szCs w:val="32"/>
        </w:rPr>
        <w:t>户籍</w:t>
      </w:r>
      <w:r>
        <w:rPr>
          <w:rFonts w:hint="eastAsia" w:ascii="华文仿宋" w:hAnsi="华文仿宋" w:eastAsia="华文仿宋" w:cs="华文仿宋"/>
          <w:color w:val="auto"/>
          <w:sz w:val="32"/>
          <w:szCs w:val="32"/>
          <w:lang w:eastAsia="zh-CN"/>
        </w:rPr>
        <w:t>、</w:t>
      </w:r>
      <w:r>
        <w:rPr>
          <w:rFonts w:hint="eastAsia" w:ascii="华文仿宋" w:hAnsi="华文仿宋" w:eastAsia="华文仿宋" w:cs="华文仿宋"/>
          <w:color w:val="auto"/>
          <w:sz w:val="32"/>
          <w:szCs w:val="32"/>
        </w:rPr>
        <w:t>持有《中华人民共和国残疾人证》的残疾等级被评定为一级、二级的重度残疾人。长期照护是指因残疾产生的特殊护理消费品和照护服务支出持续6个月以上时间。</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领取工伤保险护理费、纳入特困人员供养保障的不能享受残疾人两项补贴。符合条件的残疾人，可同时申领困难残疾人生活补贴和重度残疾人护理补贴。既符合残疾人两项补贴条件，又符合老年人、因公残疾、离休等福利性生活补贴（津贴）、护理补贴（津贴）条件的残疾人，可择高申领其中一类生活补贴（津贴）、护理补贴（津贴）。享受孤儿基本生活保障政策的残疾儿童不享受困难残疾人生活补贴，可享受重度残疾人护理补贴。</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黑体" w:hAnsi="黑体" w:eastAsia="黑体" w:cs="黑体"/>
          <w:b w:val="0"/>
          <w:bCs w:val="0"/>
          <w:color w:val="auto"/>
          <w:sz w:val="32"/>
          <w:szCs w:val="32"/>
          <w:lang w:val="en-US" w:eastAsia="zh-CN"/>
        </w:rPr>
      </w:pPr>
      <w:r>
        <w:rPr>
          <w:rFonts w:hint="eastAsia" w:ascii="方正黑体_GBK" w:hAnsi="方正黑体_GBK" w:eastAsia="方正黑体_GBK" w:cs="方正黑体_GBK"/>
          <w:color w:val="auto"/>
          <w:sz w:val="32"/>
          <w:szCs w:val="32"/>
          <w:lang w:val="en-US" w:eastAsia="zh-CN"/>
        </w:rPr>
        <w:t xml:space="preserve">   </w:t>
      </w:r>
      <w:r>
        <w:rPr>
          <w:rFonts w:hint="eastAsia" w:ascii="黑体" w:hAnsi="黑体" w:eastAsia="黑体" w:cs="黑体"/>
          <w:b w:val="0"/>
          <w:bCs w:val="0"/>
          <w:color w:val="auto"/>
          <w:sz w:val="32"/>
          <w:szCs w:val="32"/>
          <w:lang w:val="en-US" w:eastAsia="zh-CN"/>
        </w:rPr>
        <w:t xml:space="preserve"> 二、申请方式及需提供材料</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lang w:val="en-US" w:eastAsia="zh-CN"/>
        </w:rPr>
        <w:t xml:space="preserve">    1.</w:t>
      </w:r>
      <w:r>
        <w:rPr>
          <w:rFonts w:hint="eastAsia" w:ascii="华文仿宋" w:hAnsi="华文仿宋" w:eastAsia="华文仿宋" w:cs="华文仿宋"/>
          <w:color w:val="auto"/>
          <w:sz w:val="32"/>
          <w:szCs w:val="32"/>
        </w:rPr>
        <w:t>线上申请。残疾人或其监护人可以通过登录国家政务服务平台及其移动端、民政一体化政务服务平台及其移动端“民政通”</w:t>
      </w:r>
      <w:r>
        <w:rPr>
          <w:rFonts w:hint="eastAsia" w:ascii="华文仿宋" w:hAnsi="华文仿宋" w:eastAsia="华文仿宋" w:cs="华文仿宋"/>
          <w:color w:val="auto"/>
          <w:sz w:val="32"/>
          <w:szCs w:val="32"/>
          <w:lang w:eastAsia="zh-CN"/>
        </w:rPr>
        <w:t>、“扶残助困一件事一次办”</w:t>
      </w:r>
      <w:r>
        <w:rPr>
          <w:rFonts w:hint="eastAsia" w:ascii="华文仿宋" w:hAnsi="华文仿宋" w:eastAsia="华文仿宋" w:cs="华文仿宋"/>
          <w:color w:val="auto"/>
          <w:sz w:val="32"/>
          <w:szCs w:val="32"/>
        </w:rPr>
        <w:t>等</w:t>
      </w:r>
      <w:r>
        <w:rPr>
          <w:rFonts w:hint="eastAsia" w:ascii="华文仿宋" w:hAnsi="华文仿宋" w:eastAsia="华文仿宋" w:cs="华文仿宋"/>
          <w:color w:val="auto"/>
          <w:sz w:val="32"/>
          <w:szCs w:val="32"/>
          <w:lang w:eastAsia="zh-CN"/>
        </w:rPr>
        <w:t>方式</w:t>
      </w:r>
      <w:r>
        <w:rPr>
          <w:rFonts w:hint="eastAsia" w:ascii="华文仿宋" w:hAnsi="华文仿宋" w:eastAsia="华文仿宋" w:cs="华文仿宋"/>
          <w:color w:val="auto"/>
          <w:sz w:val="32"/>
          <w:szCs w:val="32"/>
        </w:rPr>
        <w:t>在线</w:t>
      </w:r>
      <w:r>
        <w:rPr>
          <w:rFonts w:hint="eastAsia" w:ascii="华文仿宋" w:hAnsi="华文仿宋" w:eastAsia="华文仿宋" w:cs="华文仿宋"/>
          <w:color w:val="auto"/>
          <w:sz w:val="32"/>
          <w:szCs w:val="32"/>
          <w:lang w:val="en-US" w:eastAsia="zh-CN"/>
        </w:rPr>
        <w:t>提交</w:t>
      </w:r>
      <w:r>
        <w:rPr>
          <w:rFonts w:hint="eastAsia" w:ascii="华文仿宋" w:hAnsi="华文仿宋" w:eastAsia="华文仿宋" w:cs="华文仿宋"/>
          <w:color w:val="auto"/>
          <w:sz w:val="32"/>
          <w:szCs w:val="32"/>
        </w:rPr>
        <w:t>申请。</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lang w:val="en-US" w:eastAsia="zh-CN"/>
        </w:rPr>
        <w:t xml:space="preserve">    </w:t>
      </w:r>
      <w:r>
        <w:rPr>
          <w:rFonts w:hint="eastAsia" w:ascii="华文仿宋" w:hAnsi="华文仿宋" w:eastAsia="华文仿宋" w:cs="华文仿宋"/>
          <w:color w:val="auto"/>
          <w:sz w:val="32"/>
          <w:szCs w:val="32"/>
        </w:rPr>
        <w:t>2.线下申请。残疾人或其监护人，法定赡养、抚养、扶养义务人，所在嘎查村民（居民）委员会或其他委托人可携带身份证、户口簿、残疾人证、</w:t>
      </w:r>
      <w:r>
        <w:rPr>
          <w:rFonts w:hint="eastAsia" w:ascii="华文仿宋" w:hAnsi="华文仿宋" w:eastAsia="华文仿宋" w:cs="华文仿宋"/>
          <w:color w:val="auto"/>
          <w:sz w:val="32"/>
          <w:szCs w:val="32"/>
          <w:lang w:val="en-US" w:eastAsia="zh-CN"/>
        </w:rPr>
        <w:t>享受低保情况说明</w:t>
      </w:r>
      <w:r>
        <w:rPr>
          <w:rFonts w:hint="eastAsia" w:ascii="华文仿宋" w:hAnsi="华文仿宋" w:eastAsia="华文仿宋" w:cs="华文仿宋"/>
          <w:color w:val="auto"/>
          <w:sz w:val="32"/>
          <w:szCs w:val="32"/>
        </w:rPr>
        <w:t>、</w:t>
      </w:r>
      <w:r>
        <w:rPr>
          <w:rFonts w:hint="eastAsia" w:ascii="华文仿宋" w:hAnsi="华文仿宋" w:eastAsia="华文仿宋" w:cs="华文仿宋"/>
          <w:color w:val="auto"/>
          <w:sz w:val="32"/>
          <w:szCs w:val="32"/>
          <w:lang w:eastAsia="zh-CN"/>
        </w:rPr>
        <w:t>银行卡</w:t>
      </w:r>
      <w:r>
        <w:rPr>
          <w:rFonts w:hint="eastAsia" w:ascii="华文仿宋" w:hAnsi="华文仿宋" w:eastAsia="华文仿宋" w:cs="华文仿宋"/>
          <w:color w:val="auto"/>
          <w:sz w:val="32"/>
          <w:szCs w:val="32"/>
        </w:rPr>
        <w:t>等相关证明材料，向户籍所在地的苏木乡镇人民政府（街道办事处）受理窗口</w:t>
      </w:r>
      <w:r>
        <w:rPr>
          <w:rFonts w:hint="eastAsia" w:ascii="华文仿宋" w:hAnsi="华文仿宋" w:eastAsia="华文仿宋" w:cs="华文仿宋"/>
          <w:color w:val="auto"/>
          <w:sz w:val="32"/>
          <w:szCs w:val="32"/>
          <w:lang w:eastAsia="zh-CN"/>
        </w:rPr>
        <w:t>或残联设立的“扶残助困一件事一次办”窗口</w:t>
      </w:r>
      <w:r>
        <w:rPr>
          <w:rFonts w:hint="eastAsia" w:ascii="华文仿宋" w:hAnsi="华文仿宋" w:eastAsia="华文仿宋" w:cs="华文仿宋"/>
          <w:color w:val="auto"/>
          <w:sz w:val="32"/>
          <w:szCs w:val="32"/>
        </w:rPr>
        <w:t>提交书面申请</w:t>
      </w:r>
      <w:r>
        <w:rPr>
          <w:rFonts w:hint="eastAsia" w:ascii="华文仿宋" w:hAnsi="华文仿宋" w:eastAsia="华文仿宋" w:cs="华文仿宋"/>
          <w:color w:val="auto"/>
          <w:sz w:val="32"/>
          <w:szCs w:val="32"/>
          <w:lang w:eastAsia="zh-CN"/>
        </w:rPr>
        <w:t>。</w:t>
      </w:r>
      <w:r>
        <w:rPr>
          <w:rFonts w:hint="eastAsia" w:ascii="华文仿宋" w:hAnsi="华文仿宋" w:eastAsia="华文仿宋" w:cs="华文仿宋"/>
          <w:color w:val="auto"/>
          <w:sz w:val="32"/>
          <w:szCs w:val="32"/>
        </w:rPr>
        <w:t>向户籍所在地提出申请有困难的，申请人可以在全国范围内任何街道办事处和乡镇人民政府设立的残疾人两项补贴受理窗口提交。能够通过系统数据共享获取的证明材料，申请人可不提供纸质材料。</w:t>
      </w:r>
    </w:p>
    <w:p>
      <w:pPr>
        <w:keepNext w:val="0"/>
        <w:keepLines w:val="0"/>
        <w:pageBreakBefore w:val="0"/>
        <w:widowControl w:val="0"/>
        <w:kinsoku/>
        <w:wordWrap/>
        <w:overflowPunct/>
        <w:topLinePunct w:val="0"/>
        <w:autoSpaceDE/>
        <w:autoSpaceDN/>
        <w:bidi w:val="0"/>
        <w:adjustRightInd/>
        <w:snapToGrid/>
        <w:spacing w:line="420" w:lineRule="exact"/>
        <w:ind w:firstLine="640"/>
        <w:textAlignment w:val="auto"/>
        <w:outlineLvl w:val="9"/>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w:t>
      </w:r>
      <w:r>
        <w:rPr>
          <w:rFonts w:hint="eastAsia" w:ascii="黑体" w:hAnsi="黑体" w:eastAsia="黑体" w:cs="黑体"/>
          <w:b w:val="0"/>
          <w:bCs w:val="0"/>
          <w:color w:val="auto"/>
          <w:sz w:val="32"/>
          <w:szCs w:val="32"/>
        </w:rPr>
        <w:t>、</w:t>
      </w:r>
      <w:r>
        <w:rPr>
          <w:rFonts w:hint="eastAsia" w:ascii="黑体" w:hAnsi="黑体" w:eastAsia="黑体" w:cs="黑体"/>
          <w:b w:val="0"/>
          <w:bCs w:val="0"/>
          <w:color w:val="auto"/>
          <w:sz w:val="32"/>
          <w:szCs w:val="32"/>
          <w:lang w:val="en-US" w:eastAsia="zh-CN"/>
        </w:rPr>
        <w:t>申请原则</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lang w:val="en-US" w:eastAsia="zh-CN"/>
        </w:rPr>
        <w:t>1.</w:t>
      </w:r>
      <w:r>
        <w:rPr>
          <w:rFonts w:hint="eastAsia" w:ascii="华文仿宋" w:hAnsi="华文仿宋" w:eastAsia="华文仿宋" w:cs="华文仿宋"/>
          <w:color w:val="auto"/>
          <w:sz w:val="32"/>
          <w:szCs w:val="32"/>
        </w:rPr>
        <w:t>残疾人两项补贴遵循自愿申请原则，残疾人及监护人有权提出或放弃补贴资格申请。</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lang w:val="en-US" w:eastAsia="zh-CN"/>
        </w:rPr>
        <w:t xml:space="preserve">    2.</w:t>
      </w:r>
      <w:r>
        <w:rPr>
          <w:rFonts w:hint="eastAsia" w:ascii="华文仿宋" w:hAnsi="华文仿宋" w:eastAsia="华文仿宋" w:cs="华文仿宋"/>
          <w:color w:val="auto"/>
          <w:sz w:val="32"/>
          <w:szCs w:val="32"/>
        </w:rPr>
        <w:t>申请人应当对提交的残疾人两项补贴申请材料真实性、合法性负责。</w:t>
      </w:r>
    </w:p>
    <w:p>
      <w:pPr>
        <w:keepNext w:val="0"/>
        <w:keepLines w:val="0"/>
        <w:pageBreakBefore w:val="0"/>
        <w:widowControl w:val="0"/>
        <w:kinsoku/>
        <w:wordWrap/>
        <w:overflowPunct/>
        <w:topLinePunct w:val="0"/>
        <w:autoSpaceDE/>
        <w:autoSpaceDN/>
        <w:bidi w:val="0"/>
        <w:adjustRightInd/>
        <w:snapToGrid/>
        <w:spacing w:line="420" w:lineRule="exact"/>
        <w:ind w:firstLine="640"/>
        <w:textAlignment w:val="auto"/>
        <w:outlineLvl w:val="9"/>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w:t>
      </w:r>
      <w:r>
        <w:rPr>
          <w:rFonts w:hint="eastAsia" w:ascii="黑体" w:hAnsi="黑体" w:eastAsia="黑体" w:cs="黑体"/>
          <w:color w:val="auto"/>
          <w:sz w:val="32"/>
          <w:szCs w:val="32"/>
        </w:rPr>
        <w:t>、</w:t>
      </w:r>
      <w:r>
        <w:rPr>
          <w:rFonts w:hint="eastAsia" w:ascii="黑体" w:hAnsi="黑体" w:eastAsia="黑体" w:cs="黑体"/>
          <w:color w:val="auto"/>
          <w:sz w:val="32"/>
          <w:szCs w:val="32"/>
          <w:lang w:val="en-US" w:eastAsia="zh-CN"/>
        </w:rPr>
        <w:t>申请人需主动告知的情形</w:t>
      </w:r>
    </w:p>
    <w:p>
      <w:pPr>
        <w:keepNext w:val="0"/>
        <w:keepLines w:val="0"/>
        <w:pageBreakBefore w:val="0"/>
        <w:widowControl w:val="0"/>
        <w:kinsoku/>
        <w:wordWrap/>
        <w:overflowPunct/>
        <w:topLinePunct w:val="0"/>
        <w:autoSpaceDE/>
        <w:autoSpaceDN/>
        <w:bidi w:val="0"/>
        <w:adjustRightInd/>
        <w:snapToGrid/>
        <w:spacing w:line="420" w:lineRule="exact"/>
        <w:ind w:firstLine="640"/>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申请人在发生以下情形时，申请人或其监护人（或赡养、抚养、扶养义务人，其他被委托人）应向户籍所在地县级民政部门、残联、乡镇（街道）等任意机关主动告知。</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640" w:firstLineChars="200"/>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lang w:val="en-US" w:eastAsia="zh-CN"/>
        </w:rPr>
        <w:t>1.</w:t>
      </w:r>
      <w:r>
        <w:rPr>
          <w:rFonts w:hint="eastAsia" w:ascii="华文仿宋" w:hAnsi="华文仿宋" w:eastAsia="华文仿宋" w:cs="华文仿宋"/>
          <w:color w:val="auto"/>
          <w:sz w:val="32"/>
          <w:szCs w:val="32"/>
        </w:rPr>
        <w:t>户籍地变更；</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640" w:firstLineChars="200"/>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2.残疾等级变更、低保或低保边缘政策享受状况变更；</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640" w:firstLineChars="200"/>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3.享受补贴期间被人民法院判处有期徒刑以上刑罚且需在监狱服刑；</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640" w:firstLineChars="200"/>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4.领取工伤保险生活护理费；</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640" w:firstLineChars="200"/>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5.领取补贴的残疾人死亡；</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640" w:firstLineChars="200"/>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6.其他应当告知的情形。</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黑体" w:hAnsi="黑体" w:eastAsia="黑体" w:cs="黑体"/>
          <w:color w:val="auto"/>
          <w:sz w:val="32"/>
          <w:szCs w:val="32"/>
        </w:rPr>
      </w:pPr>
      <w:r>
        <w:rPr>
          <w:rFonts w:hint="eastAsia" w:ascii="华文仿宋" w:hAnsi="华文仿宋" w:eastAsia="华文仿宋" w:cs="华文仿宋"/>
          <w:color w:val="auto"/>
          <w:sz w:val="32"/>
          <w:szCs w:val="32"/>
          <w:lang w:val="en-US" w:eastAsia="zh-CN"/>
        </w:rPr>
        <w:t xml:space="preserve">    </w:t>
      </w:r>
      <w:r>
        <w:rPr>
          <w:rFonts w:hint="eastAsia" w:ascii="黑体" w:hAnsi="黑体" w:eastAsia="黑体" w:cs="黑体"/>
          <w:color w:val="auto"/>
          <w:sz w:val="32"/>
          <w:szCs w:val="32"/>
          <w:lang w:val="en-US" w:eastAsia="zh-CN"/>
        </w:rPr>
        <w:t>五</w:t>
      </w:r>
      <w:r>
        <w:rPr>
          <w:rFonts w:hint="eastAsia" w:ascii="黑体" w:hAnsi="黑体" w:eastAsia="黑体" w:cs="黑体"/>
          <w:color w:val="auto"/>
          <w:sz w:val="32"/>
          <w:szCs w:val="32"/>
        </w:rPr>
        <w:t>、申请人告知变更事项</w:t>
      </w:r>
      <w:r>
        <w:rPr>
          <w:rFonts w:hint="eastAsia" w:ascii="黑体" w:hAnsi="黑体" w:eastAsia="黑体" w:cs="黑体"/>
          <w:color w:val="auto"/>
          <w:sz w:val="32"/>
          <w:szCs w:val="32"/>
          <w:lang w:val="en-US" w:eastAsia="zh-CN"/>
        </w:rPr>
        <w:t>的</w:t>
      </w:r>
      <w:r>
        <w:rPr>
          <w:rFonts w:hint="eastAsia" w:ascii="黑体" w:hAnsi="黑体" w:eastAsia="黑体" w:cs="黑体"/>
          <w:color w:val="auto"/>
          <w:sz w:val="32"/>
          <w:szCs w:val="32"/>
        </w:rPr>
        <w:t>方式</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lang w:val="en-US" w:eastAsia="zh-CN"/>
        </w:rPr>
        <w:t xml:space="preserve">    </w:t>
      </w:r>
      <w:r>
        <w:rPr>
          <w:rFonts w:hint="eastAsia" w:ascii="华文仿宋" w:hAnsi="华文仿宋" w:eastAsia="华文仿宋" w:cs="华文仿宋"/>
          <w:color w:val="auto"/>
          <w:sz w:val="32"/>
          <w:szCs w:val="32"/>
        </w:rPr>
        <w:t>1.电话告知：xx县民政局电话：xxx-xxxxxxxx ，xx残联， xx街道（乡镇） ；</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lang w:val="en-US" w:eastAsia="zh-CN"/>
        </w:rPr>
        <w:t xml:space="preserve">    </w:t>
      </w:r>
      <w:r>
        <w:rPr>
          <w:rFonts w:hint="eastAsia" w:ascii="华文仿宋" w:hAnsi="华文仿宋" w:eastAsia="华文仿宋" w:cs="华文仿宋"/>
          <w:color w:val="auto"/>
          <w:sz w:val="32"/>
          <w:szCs w:val="32"/>
        </w:rPr>
        <w:t>2.在线告知：登录民政一体化政务服务平台，通过“全程网办”功能告知；</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lang w:val="en-US" w:eastAsia="zh-CN"/>
        </w:rPr>
        <w:t xml:space="preserve">    </w:t>
      </w:r>
      <w:r>
        <w:rPr>
          <w:rFonts w:hint="eastAsia" w:ascii="华文仿宋" w:hAnsi="华文仿宋" w:eastAsia="华文仿宋" w:cs="华文仿宋"/>
          <w:color w:val="auto"/>
          <w:sz w:val="32"/>
          <w:szCs w:val="32"/>
        </w:rPr>
        <w:t>3.实地告知：xxx。</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lang w:val="en-US" w:eastAsia="zh-CN"/>
        </w:rPr>
        <w:t xml:space="preserve">    六</w:t>
      </w:r>
      <w:r>
        <w:rPr>
          <w:rFonts w:hint="eastAsia" w:ascii="方正黑体_GBK" w:hAnsi="方正黑体_GBK" w:eastAsia="方正黑体_GBK" w:cs="方正黑体_GBK"/>
          <w:color w:val="auto"/>
          <w:sz w:val="32"/>
          <w:szCs w:val="32"/>
          <w:lang w:val="en-US" w:eastAsia="zh-CN"/>
        </w:rPr>
        <w:t>、</w:t>
      </w:r>
      <w:r>
        <w:rPr>
          <w:rFonts w:hint="eastAsia" w:ascii="华文仿宋" w:hAnsi="华文仿宋" w:eastAsia="华文仿宋" w:cs="华文仿宋"/>
          <w:color w:val="auto"/>
          <w:sz w:val="32"/>
          <w:szCs w:val="32"/>
        </w:rPr>
        <w:t>各旗县（市区）残疾人专职委员、民政协理员对已办理残疾人证的残疾人进行宣传告知，通过发政策告知书、入户走访、电话宣讲等形式主动提醒告知。</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 xml:space="preserve">宣传方式： </w:t>
      </w:r>
      <w:r>
        <w:rPr>
          <w:rFonts w:hint="eastAsia" w:ascii="华文仿宋" w:hAnsi="华文仿宋" w:eastAsia="华文仿宋" w:cs="华文仿宋"/>
          <w:color w:val="auto"/>
          <w:sz w:val="32"/>
          <w:szCs w:val="32"/>
          <w:lang w:val="en-US" w:eastAsia="zh-CN"/>
        </w:rPr>
        <w:t>短信提醒□ 入户走访□ 电话告知□</w:t>
      </w:r>
      <w:r>
        <w:rPr>
          <w:rFonts w:hint="eastAsia" w:ascii="华文仿宋" w:hAnsi="华文仿宋" w:eastAsia="华文仿宋" w:cs="华文仿宋"/>
          <w:color w:val="auto"/>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lang w:val="en-US" w:eastAsia="zh-CN"/>
        </w:rPr>
        <w:t xml:space="preserve">    七</w:t>
      </w:r>
      <w:r>
        <w:rPr>
          <w:rFonts w:hint="eastAsia" w:ascii="方正黑体_GBK" w:hAnsi="方正黑体_GBK" w:eastAsia="方正黑体_GBK" w:cs="方正黑体_GBK"/>
          <w:color w:val="auto"/>
          <w:sz w:val="32"/>
          <w:szCs w:val="32"/>
          <w:lang w:val="en-US" w:eastAsia="zh-CN"/>
        </w:rPr>
        <w:t>、</w:t>
      </w:r>
      <w:r>
        <w:rPr>
          <w:rFonts w:hint="eastAsia" w:ascii="华文仿宋" w:hAnsi="华文仿宋" w:eastAsia="华文仿宋" w:cs="华文仿宋"/>
          <w:color w:val="auto"/>
          <w:sz w:val="32"/>
          <w:szCs w:val="32"/>
        </w:rPr>
        <w:t>本政策告知书一式四份，由</w:t>
      </w:r>
      <w:r>
        <w:rPr>
          <w:rFonts w:hint="eastAsia" w:ascii="华文仿宋" w:hAnsi="华文仿宋" w:eastAsia="华文仿宋" w:cs="华文仿宋"/>
          <w:color w:val="auto"/>
          <w:sz w:val="32"/>
          <w:szCs w:val="32"/>
          <w:lang w:eastAsia="zh-CN"/>
        </w:rPr>
        <w:t>旗</w:t>
      </w:r>
      <w:r>
        <w:rPr>
          <w:rFonts w:hint="eastAsia" w:ascii="华文仿宋" w:hAnsi="华文仿宋" w:eastAsia="华文仿宋" w:cs="华文仿宋"/>
          <w:color w:val="auto"/>
          <w:sz w:val="32"/>
          <w:szCs w:val="32"/>
        </w:rPr>
        <w:t>县</w:t>
      </w:r>
      <w:r>
        <w:rPr>
          <w:rFonts w:hint="eastAsia" w:ascii="华文仿宋" w:hAnsi="华文仿宋" w:eastAsia="华文仿宋" w:cs="华文仿宋"/>
          <w:color w:val="auto"/>
          <w:sz w:val="32"/>
          <w:szCs w:val="32"/>
          <w:lang w:eastAsia="zh-CN"/>
        </w:rPr>
        <w:t>（市区）</w:t>
      </w:r>
      <w:r>
        <w:rPr>
          <w:rFonts w:hint="eastAsia" w:ascii="华文仿宋" w:hAnsi="华文仿宋" w:eastAsia="华文仿宋" w:cs="华文仿宋"/>
          <w:color w:val="auto"/>
          <w:sz w:val="32"/>
          <w:szCs w:val="32"/>
        </w:rPr>
        <w:t>民政部门</w:t>
      </w:r>
      <w:r>
        <w:rPr>
          <w:rFonts w:hint="eastAsia" w:ascii="华文仿宋" w:hAnsi="华文仿宋" w:eastAsia="华文仿宋" w:cs="华文仿宋"/>
          <w:color w:val="auto"/>
          <w:sz w:val="32"/>
          <w:szCs w:val="32"/>
          <w:lang w:eastAsia="zh-CN"/>
        </w:rPr>
        <w:t>和</w:t>
      </w:r>
      <w:r>
        <w:rPr>
          <w:rFonts w:hint="eastAsia" w:ascii="华文仿宋" w:hAnsi="华文仿宋" w:eastAsia="华文仿宋" w:cs="华文仿宋"/>
          <w:color w:val="auto"/>
          <w:sz w:val="32"/>
          <w:szCs w:val="32"/>
        </w:rPr>
        <w:t>残联</w:t>
      </w:r>
      <w:r>
        <w:rPr>
          <w:rFonts w:hint="eastAsia" w:ascii="华文仿宋" w:hAnsi="华文仿宋" w:eastAsia="华文仿宋" w:cs="华文仿宋"/>
          <w:color w:val="auto"/>
          <w:sz w:val="32"/>
          <w:szCs w:val="32"/>
          <w:lang w:eastAsia="zh-CN"/>
        </w:rPr>
        <w:t>组织</w:t>
      </w:r>
      <w:r>
        <w:rPr>
          <w:rFonts w:hint="eastAsia" w:ascii="华文仿宋" w:hAnsi="华文仿宋" w:eastAsia="华文仿宋" w:cs="华文仿宋"/>
          <w:color w:val="auto"/>
          <w:sz w:val="32"/>
          <w:szCs w:val="32"/>
        </w:rPr>
        <w:t>、乡镇（街道）和申请人分别留存。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C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6C7B2D"/>
    <w:multiLevelType w:val="singleLevel"/>
    <w:tmpl w:val="1E6C7B2D"/>
    <w:lvl w:ilvl="0" w:tentative="0">
      <w:start w:val="1"/>
      <w:numFmt w:val="chineseCounting"/>
      <w:suff w:val="nothing"/>
      <w:lvlText w:val="%1、"/>
      <w:lvlJc w:val="left"/>
      <w:pPr>
        <w:ind w:left="640" w:leftChars="0" w:firstLine="0" w:firstLineChars="0"/>
      </w:pPr>
      <w:rPr>
        <w:rFonts w:hint="eastAsia" w:ascii="黑体" w:hAnsi="黑体" w:eastAsia="黑体" w:cs="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OTE2YjFiOTAxMGFhZTFmODg3NTg3YTQ5ZDk3NmMifQ=="/>
  </w:docVars>
  <w:rsids>
    <w:rsidRoot w:val="207D7B3C"/>
    <w:rsid w:val="207D7B3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2023-05-18T08:39:00Z</dcterms:created>
  <dc:creator>杨晨</dc:creator>
  <cp:lastModifiedBy>杨晨</cp:lastModifiedBy>
  <dcterms:modified xsi:type="dcterms:W3CDTF">2023-05-18T08:40:33Z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F043482BE9C640309B3C97FD4E05181B</vt:lpwstr>
  </property>
</Properties>
</file>