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720" w:firstLineChars="200"/>
        <w:jc w:val="center"/>
        <w:rPr>
          <w:rFonts w:hint="eastAsia" w:ascii="华文中宋" w:hAnsi="华文中宋" w:eastAsia="华文中宋"/>
          <w:sz w:val="36"/>
          <w:szCs w:val="36"/>
        </w:rPr>
      </w:pPr>
      <w:bookmarkStart w:id="0" w:name="YS060100"/>
      <w:bookmarkStart w:id="1" w:name="第七部分部门决算分析报告撰写提纲"/>
    </w:p>
    <w:p>
      <w:pPr>
        <w:snapToGrid w:val="0"/>
        <w:jc w:val="center"/>
        <w:rPr>
          <w:rFonts w:hint="eastAsia" w:ascii="华文中宋" w:hAnsi="华文中宋" w:eastAsia="华文中宋"/>
          <w:sz w:val="36"/>
          <w:szCs w:val="36"/>
        </w:rPr>
      </w:pPr>
      <w:r>
        <w:rPr>
          <w:rFonts w:hint="eastAsia" w:ascii="华文中宋" w:hAnsi="华文中宋" w:eastAsia="华文中宋"/>
          <w:sz w:val="36"/>
          <w:szCs w:val="36"/>
        </w:rPr>
        <w:t>202</w:t>
      </w:r>
      <w:r>
        <w:rPr>
          <w:rFonts w:hint="eastAsia" w:ascii="华文中宋" w:hAnsi="华文中宋" w:eastAsia="华文中宋"/>
          <w:sz w:val="36"/>
          <w:szCs w:val="36"/>
          <w:lang w:val="en-US" w:eastAsia="zh-CN"/>
        </w:rPr>
        <w:t>2</w:t>
      </w:r>
      <w:r>
        <w:rPr>
          <w:rFonts w:hint="eastAsia" w:ascii="华文中宋" w:hAnsi="华文中宋" w:eastAsia="华文中宋"/>
          <w:sz w:val="36"/>
          <w:szCs w:val="36"/>
        </w:rPr>
        <w:t>年度部门决算分析报告撰写提纲</w:t>
      </w:r>
    </w:p>
    <w:p>
      <w:pPr>
        <w:snapToGrid w:val="0"/>
        <w:jc w:val="center"/>
        <w:rPr>
          <w:rFonts w:hint="eastAsia" w:ascii="华文中宋" w:hAnsi="华文中宋" w:eastAsia="华文中宋"/>
          <w:sz w:val="36"/>
          <w:szCs w:val="36"/>
        </w:rPr>
      </w:pPr>
      <w:r>
        <w:rPr>
          <w:rFonts w:hint="eastAsia" w:ascii="华文中宋" w:hAnsi="华文中宋" w:eastAsia="华文中宋"/>
          <w:sz w:val="36"/>
          <w:szCs w:val="36"/>
        </w:rPr>
        <w:t>（基层单位版）</w:t>
      </w:r>
    </w:p>
    <w:bookmarkEnd w:id="0"/>
    <w:p>
      <w:pPr>
        <w:snapToGrid w:val="0"/>
        <w:ind w:firstLine="640" w:firstLineChars="200"/>
        <w:rPr>
          <w:rFonts w:hint="eastAsia" w:ascii="仿宋_GB2312" w:hAnsi="仿宋" w:eastAsia="仿宋_GB2312"/>
          <w:sz w:val="32"/>
          <w:szCs w:val="32"/>
        </w:rPr>
      </w:pPr>
    </w:p>
    <w:p>
      <w:pPr>
        <w:snapToGrid w:val="0"/>
        <w:spacing w:line="520" w:lineRule="exact"/>
        <w:ind w:firstLine="640" w:firstLineChars="200"/>
        <w:rPr>
          <w:rFonts w:hint="eastAsia" w:ascii="黑体" w:hAnsi="黑体" w:eastAsia="黑体"/>
          <w:sz w:val="32"/>
          <w:szCs w:val="32"/>
        </w:rPr>
      </w:pPr>
      <w:bookmarkStart w:id="2" w:name="YS060101"/>
      <w:r>
        <w:rPr>
          <w:rFonts w:hint="eastAsia" w:ascii="黑体" w:hAnsi="黑体" w:eastAsia="黑体"/>
          <w:sz w:val="32"/>
          <w:szCs w:val="32"/>
        </w:rPr>
        <w:t>一、单位情况</w:t>
      </w:r>
    </w:p>
    <w:bookmarkEnd w:id="2"/>
    <w:p>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（一）基本情况。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1．主要职能。</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w:t>
      </w:r>
      <w:r>
        <w:rPr>
          <w:rFonts w:ascii="仿宋" w:hAnsi="仿宋" w:eastAsia="仿宋" w:cs="仿宋"/>
          <w:i w:val="0"/>
          <w:caps w:val="0"/>
          <w:color w:val="auto"/>
          <w:spacing w:val="0"/>
          <w:sz w:val="32"/>
          <w:szCs w:val="32"/>
          <w:shd w:val="clear" w:color="auto" w:fill="FFFFFF"/>
        </w:rPr>
        <w:t>主管本县内各项建设行政执法工作，贯彻执行党和国家建设工作方针、政策和法律、法规，拟制有关建设工作的地方性规章草案、管理办法。</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(2)</w:t>
      </w:r>
      <w:r>
        <w:rPr>
          <w:rFonts w:hint="eastAsia" w:ascii="仿宋" w:hAnsi="仿宋" w:eastAsia="仿宋" w:cs="仿宋"/>
          <w:i w:val="0"/>
          <w:caps w:val="0"/>
          <w:color w:val="auto"/>
          <w:spacing w:val="0"/>
          <w:sz w:val="32"/>
          <w:szCs w:val="32"/>
          <w:shd w:val="clear" w:color="auto" w:fill="FFFFFF"/>
        </w:rPr>
        <w:t>负责市政基础设施（城市道路、桥梁、排水、公交、燃气、热力、园林、环卫、垃圾处理、城市防洪、地下公共设施等）的筹划、建设和管理，编制城市基础设施建设的中长期计划并实施，负责市政设施建设项目的报建和初设审批，以及工程招投标、质量监督、竣工验收备案和预决算审查，负责收取市政设施配套费。</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(3)</w:t>
      </w:r>
      <w:r>
        <w:rPr>
          <w:rFonts w:hint="eastAsia" w:ascii="仿宋" w:hAnsi="仿宋" w:eastAsia="仿宋" w:cs="仿宋"/>
          <w:i w:val="0"/>
          <w:caps w:val="0"/>
          <w:color w:val="auto"/>
          <w:spacing w:val="0"/>
          <w:sz w:val="32"/>
          <w:szCs w:val="32"/>
          <w:shd w:val="clear" w:color="auto" w:fill="FFFFFF"/>
        </w:rPr>
        <w:t>负责建筑业市场管理。对建筑业、装饰装修业实施行业管理，负责工程项目报建、招标投标、工程合同、工程保险及担保、建设监理、施工许可、质量监督、安全生产、文明施工和竣工验收备案的管理；负责建筑材料、设备使用备案的管理，负责墙改和建筑节能的推广和监管工作。 负责审查并发放《施工许可证》，这是所有建筑施工项目的最后一道关卡，获得此证后建设单位可组织施工，未得此证建设单位不得进行开工建设。 </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(4)</w:t>
      </w:r>
      <w:r>
        <w:rPr>
          <w:rFonts w:hint="eastAsia" w:ascii="仿宋" w:hAnsi="仿宋" w:eastAsia="仿宋" w:cs="仿宋"/>
          <w:i w:val="0"/>
          <w:caps w:val="0"/>
          <w:color w:val="auto"/>
          <w:spacing w:val="0"/>
          <w:sz w:val="32"/>
          <w:szCs w:val="32"/>
          <w:shd w:val="clear" w:color="auto" w:fill="FFFFFF"/>
        </w:rPr>
        <w:t>负责建筑中介市场的管理。如工程设计、工程监理、工程招标代理、工程勘察、工程造价、工程建设咨询等。负责工业与民用建筑的抗震设防管理和城市地下空间的综合利用。</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(5)</w:t>
      </w:r>
      <w:r>
        <w:rPr>
          <w:rFonts w:hint="eastAsia" w:ascii="仿宋" w:hAnsi="仿宋" w:eastAsia="仿宋" w:cs="仿宋"/>
          <w:i w:val="0"/>
          <w:caps w:val="0"/>
          <w:color w:val="auto"/>
          <w:spacing w:val="0"/>
          <w:sz w:val="32"/>
          <w:szCs w:val="32"/>
          <w:shd w:val="clear" w:color="auto" w:fill="FFFFFF"/>
        </w:rPr>
        <w:t>负责村镇的建设和管理。主管小城镇的建设试点工作，负责协调地方与油田、铁路建设及运营方面的关系，解决施工过程中的问题。</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(6)</w:t>
      </w:r>
      <w:r>
        <w:rPr>
          <w:rFonts w:hint="eastAsia" w:ascii="仿宋" w:hAnsi="仿宋" w:eastAsia="仿宋" w:cs="仿宋"/>
          <w:i w:val="0"/>
          <w:caps w:val="0"/>
          <w:color w:val="auto"/>
          <w:spacing w:val="0"/>
          <w:sz w:val="32"/>
          <w:szCs w:val="32"/>
          <w:shd w:val="clear" w:color="auto" w:fill="FFFFFF"/>
        </w:rPr>
        <w:t>贯彻执行国家房屋征收法律法规和政策；编制房屋征收计划，拟定补偿安置方案，组织认证补偿方案并公布征求意见；拟定房屋征收决定公告；负责房屋征收调查、补偿安置方案，组织论证补偿方案并公布征求意见；负责管理和监督房屋征收评估工作；负责补偿安置资金的管理工作；负责房屋征收补偿安置纠纷的调解工作，负责房屋征收过程中的信访调解工作；负责房屋征收与补偿数据信息统计和档案资料的管理工作；完成上级机关交办的其他工作。</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(8)</w:t>
      </w:r>
      <w:r>
        <w:rPr>
          <w:rFonts w:hint="eastAsia" w:ascii="仿宋" w:hAnsi="仿宋" w:eastAsia="仿宋" w:cs="仿宋"/>
          <w:i w:val="0"/>
          <w:caps w:val="0"/>
          <w:color w:val="auto"/>
          <w:spacing w:val="0"/>
          <w:sz w:val="32"/>
          <w:szCs w:val="32"/>
          <w:shd w:val="clear" w:color="auto" w:fill="FFFFFF"/>
        </w:rPr>
        <w:t>负责城市房屋拆迁管理工作。负责城区旧城改造的组织实施和监管工作；负责房屋拆迁许可证、拆迁方案的审批和发放；负责房屋拆迁单位资格核准认证的初步审查；负责房屋安全技术监定的实施和监管工作；负责收取建设项目的旧城改造费。 </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(8)</w:t>
      </w:r>
      <w:r>
        <w:rPr>
          <w:rFonts w:hint="eastAsia" w:ascii="仿宋" w:hAnsi="仿宋" w:eastAsia="仿宋" w:cs="仿宋"/>
          <w:i w:val="0"/>
          <w:caps w:val="0"/>
          <w:color w:val="auto"/>
          <w:spacing w:val="0"/>
          <w:sz w:val="32"/>
          <w:szCs w:val="32"/>
          <w:shd w:val="clear" w:color="auto" w:fill="FFFFFF"/>
        </w:rPr>
        <w:t>负责住宅和房地产业的管理。负责房地产开发监督管理；负责房地产开发企业的资质管理；负责全县国有土地上房屋初始、转移等各类房屋交易工作；负责全县住宅建设管理等工作。 </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(9)</w:t>
      </w:r>
      <w:r>
        <w:rPr>
          <w:rFonts w:hint="eastAsia" w:ascii="仿宋" w:hAnsi="仿宋" w:eastAsia="仿宋" w:cs="仿宋"/>
          <w:i w:val="0"/>
          <w:caps w:val="0"/>
          <w:color w:val="auto"/>
          <w:spacing w:val="0"/>
          <w:sz w:val="32"/>
          <w:szCs w:val="32"/>
          <w:shd w:val="clear" w:color="auto" w:fill="FFFFFF"/>
        </w:rPr>
        <w:t>负责房产交易市场的监管工作，规范市场行为，负责居住区物业企业运营的监管工作。</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(10)</w:t>
      </w:r>
      <w:r>
        <w:rPr>
          <w:rFonts w:hint="eastAsia" w:ascii="仿宋" w:hAnsi="仿宋" w:eastAsia="仿宋" w:cs="仿宋"/>
          <w:i w:val="0"/>
          <w:caps w:val="0"/>
          <w:color w:val="auto"/>
          <w:spacing w:val="0"/>
          <w:sz w:val="32"/>
          <w:szCs w:val="32"/>
          <w:shd w:val="clear" w:color="auto" w:fill="FFFFFF"/>
        </w:rPr>
        <w:t>拟定房改资金的筹集、管理使用政策；负责住房公积金的收归、储存、使用管理工作。</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(11)</w:t>
      </w:r>
      <w:r>
        <w:rPr>
          <w:rFonts w:hint="eastAsia" w:ascii="仿宋" w:hAnsi="仿宋" w:eastAsia="仿宋" w:cs="仿宋"/>
          <w:i w:val="0"/>
          <w:caps w:val="0"/>
          <w:color w:val="auto"/>
          <w:spacing w:val="0"/>
          <w:sz w:val="32"/>
          <w:szCs w:val="32"/>
          <w:shd w:val="clear" w:color="auto" w:fill="FFFFFF"/>
        </w:rPr>
        <w:t>负责城区主次干道、巷道的清扫保洁任务、各主次街道两侧绿化带（池）、垃圾清运任务、城区公厕清扫、保洁、清掏及污水井的清掏任务、沿街环卫设施的维修、管理、垃圾场的消毒、灭蝇、掩埋等管理工作。</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(12)</w:t>
      </w:r>
      <w:r>
        <w:rPr>
          <w:rFonts w:hint="eastAsia" w:ascii="仿宋" w:hAnsi="仿宋" w:eastAsia="仿宋" w:cs="仿宋"/>
          <w:i w:val="0"/>
          <w:caps w:val="0"/>
          <w:color w:val="auto"/>
          <w:spacing w:val="0"/>
          <w:sz w:val="32"/>
          <w:szCs w:val="32"/>
          <w:shd w:val="clear" w:color="auto" w:fill="FFFFFF"/>
        </w:rPr>
        <w:t>负责街道路面挖掘、地下埋设的审批和监管工作。</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(13)</w:t>
      </w:r>
      <w:r>
        <w:rPr>
          <w:rFonts w:hint="eastAsia" w:ascii="仿宋" w:hAnsi="仿宋" w:eastAsia="仿宋" w:cs="仿宋"/>
          <w:i w:val="0"/>
          <w:caps w:val="0"/>
          <w:color w:val="auto"/>
          <w:spacing w:val="0"/>
          <w:sz w:val="32"/>
          <w:szCs w:val="32"/>
          <w:shd w:val="clear" w:color="auto" w:fill="FFFFFF"/>
        </w:rPr>
        <w:t>负责城市照明设施和夜间景观灯的施工及日常管理工作。</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(14)</w:t>
      </w:r>
      <w:r>
        <w:rPr>
          <w:rFonts w:hint="eastAsia" w:ascii="仿宋" w:hAnsi="仿宋" w:eastAsia="仿宋" w:cs="仿宋"/>
          <w:i w:val="0"/>
          <w:caps w:val="0"/>
          <w:color w:val="auto"/>
          <w:spacing w:val="0"/>
          <w:sz w:val="32"/>
          <w:szCs w:val="32"/>
          <w:shd w:val="clear" w:color="auto" w:fill="FFFFFF"/>
        </w:rPr>
        <w:t>负责公用事业的行业管理。 </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(15)</w:t>
      </w:r>
      <w:r>
        <w:rPr>
          <w:rFonts w:hint="eastAsia" w:ascii="仿宋" w:hAnsi="仿宋" w:eastAsia="仿宋" w:cs="仿宋"/>
          <w:i w:val="0"/>
          <w:caps w:val="0"/>
          <w:color w:val="auto"/>
          <w:spacing w:val="0"/>
          <w:sz w:val="32"/>
          <w:szCs w:val="32"/>
          <w:shd w:val="clear" w:color="auto" w:fill="FFFFFF"/>
        </w:rPr>
        <w:t>负责实施城市绿地系统规划，组织制定城市园林绿化发展规划、年度计划并组织实施。</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黑体" w:hAnsi="宋体" w:eastAsia="黑体" w:cs="黑体"/>
          <w:i w:val="0"/>
          <w:caps w:val="0"/>
          <w:color w:val="auto"/>
          <w:spacing w:val="0"/>
          <w:sz w:val="21"/>
          <w:szCs w:val="21"/>
        </w:rPr>
      </w:pPr>
      <w:r>
        <w:rPr>
          <w:rFonts w:hint="eastAsia" w:ascii="仿宋" w:hAnsi="仿宋" w:eastAsia="仿宋" w:cs="仿宋"/>
          <w:i w:val="0"/>
          <w:caps w:val="0"/>
          <w:color w:val="auto"/>
          <w:spacing w:val="0"/>
          <w:sz w:val="32"/>
          <w:szCs w:val="32"/>
          <w:shd w:val="clear" w:color="auto" w:fill="FFFFFF"/>
          <w:lang w:val="en-US" w:eastAsia="zh-CN"/>
        </w:rPr>
        <w:t>(16)</w:t>
      </w:r>
      <w:r>
        <w:rPr>
          <w:rFonts w:hint="eastAsia" w:ascii="仿宋" w:hAnsi="仿宋" w:eastAsia="仿宋" w:cs="仿宋"/>
          <w:i w:val="0"/>
          <w:caps w:val="0"/>
          <w:color w:val="auto"/>
          <w:spacing w:val="0"/>
          <w:sz w:val="32"/>
          <w:szCs w:val="32"/>
          <w:shd w:val="clear" w:color="auto" w:fill="FFFFFF"/>
        </w:rPr>
        <w:t>负责隆兴昌城区19.2平方公里的17条市政道路、17个广场、公园、人工湖泊、水系、3个产业园区及六大出口等绿化美化建设与管理任务，同时承担居民小区、机关、学校等绿化美化的指导与监督工作。管辖范围东到东牛犋、西至河神公园西侧、南到荣丰公社、北到五谷丰登雕塑。</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仿宋" w:hAnsi="仿宋" w:eastAsia="仿宋" w:cs="仿宋"/>
          <w:i w:val="0"/>
          <w:caps w:val="0"/>
          <w:color w:val="auto"/>
          <w:spacing w:val="0"/>
          <w:sz w:val="32"/>
          <w:szCs w:val="32"/>
          <w:shd w:val="clear" w:color="auto" w:fill="FFFFFF"/>
        </w:rPr>
      </w:pPr>
      <w:r>
        <w:rPr>
          <w:rFonts w:hint="eastAsia" w:ascii="仿宋" w:hAnsi="仿宋" w:eastAsia="仿宋" w:cs="仿宋"/>
          <w:i w:val="0"/>
          <w:caps w:val="0"/>
          <w:color w:val="auto"/>
          <w:spacing w:val="0"/>
          <w:sz w:val="32"/>
          <w:szCs w:val="32"/>
          <w:shd w:val="clear" w:color="auto" w:fill="FFFFFF"/>
          <w:lang w:val="en-US" w:eastAsia="zh-CN"/>
        </w:rPr>
        <w:t>(17)</w:t>
      </w:r>
      <w:r>
        <w:rPr>
          <w:rFonts w:hint="eastAsia" w:ascii="仿宋" w:hAnsi="仿宋" w:eastAsia="仿宋" w:cs="仿宋"/>
          <w:i w:val="0"/>
          <w:caps w:val="0"/>
          <w:color w:val="auto"/>
          <w:spacing w:val="0"/>
          <w:sz w:val="32"/>
          <w:szCs w:val="32"/>
          <w:shd w:val="clear" w:color="auto" w:fill="FFFFFF"/>
        </w:rPr>
        <w:t>为生产生活正常提供城政工程设施管理维护保障、污水排放、污水设施疏通与维护排水工程安装。</w:t>
      </w:r>
    </w:p>
    <w:p>
      <w:pPr>
        <w:pStyle w:val="3"/>
        <w:keepNext w:val="0"/>
        <w:keepLines w:val="0"/>
        <w:widowControl/>
        <w:suppressLineNumbers w:val="0"/>
        <w:shd w:val="clear" w:color="auto" w:fill="FFFFFF"/>
        <w:spacing w:before="0" w:beforeAutospacing="0" w:after="0" w:afterAutospacing="0" w:line="560" w:lineRule="atLeast"/>
        <w:ind w:left="0" w:right="0" w:firstLine="640"/>
        <w:rPr>
          <w:rFonts w:hint="eastAsia" w:ascii="仿宋_GB2312" w:hAnsi="仿宋" w:eastAsia="仿宋_GB2312"/>
          <w:sz w:val="32"/>
          <w:szCs w:val="32"/>
        </w:rPr>
      </w:pPr>
      <w:r>
        <w:rPr>
          <w:rFonts w:hint="eastAsia" w:ascii="仿宋" w:hAnsi="仿宋" w:eastAsia="仿宋" w:cs="仿宋"/>
          <w:i w:val="0"/>
          <w:caps w:val="0"/>
          <w:color w:val="auto"/>
          <w:spacing w:val="0"/>
          <w:sz w:val="32"/>
          <w:szCs w:val="32"/>
          <w:shd w:val="clear" w:color="auto" w:fill="FFFFFF"/>
          <w:lang w:val="en-US" w:eastAsia="zh-CN"/>
        </w:rPr>
        <w:t>(18)</w:t>
      </w:r>
      <w:r>
        <w:rPr>
          <w:rFonts w:hint="eastAsia" w:ascii="仿宋" w:hAnsi="仿宋" w:eastAsia="仿宋" w:cs="仿宋"/>
          <w:i w:val="0"/>
          <w:caps w:val="0"/>
          <w:color w:val="auto"/>
          <w:spacing w:val="0"/>
          <w:sz w:val="32"/>
          <w:szCs w:val="32"/>
          <w:shd w:val="clear" w:color="auto" w:fill="FFFFFF"/>
        </w:rPr>
        <w:t>负责贯彻执行城市住宅小区有关物业、供热、供气（中文供气指天然气）、供水管理方面的法律、法规及上级部门的相关政策规定。负责住宅小区前期物业招投标管理，物业企业资质设立、升级、年检的初审，质量保修金、履约保证金收缴工作，住宅专项维修资金的收缴、使用的审批及监管。</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2．机构情况，包括当年变动情况及原因。</w:t>
      </w:r>
    </w:p>
    <w:p>
      <w:pPr>
        <w:snapToGrid w:val="0"/>
        <w:spacing w:line="520" w:lineRule="exact"/>
        <w:ind w:firstLine="640" w:firstLineChars="200"/>
        <w:rPr>
          <w:rFonts w:hint="eastAsia" w:ascii="仿宋_GB2312" w:hAnsi="仿宋" w:eastAsia="仿宋_GB2312"/>
          <w:sz w:val="32"/>
          <w:szCs w:val="32"/>
        </w:rPr>
      </w:pPr>
      <w:r>
        <w:rPr>
          <w:rFonts w:ascii="仿宋" w:hAnsi="仿宋" w:eastAsia="仿宋" w:cs="仿宋"/>
          <w:i w:val="0"/>
          <w:caps w:val="0"/>
          <w:color w:val="auto"/>
          <w:spacing w:val="0"/>
          <w:sz w:val="32"/>
          <w:szCs w:val="32"/>
          <w:shd w:val="clear" w:color="auto" w:fill="FFFFFF"/>
        </w:rPr>
        <w:t>五原县住建局是政府的综合管理职能机构，内设</w:t>
      </w:r>
      <w:r>
        <w:rPr>
          <w:rFonts w:hint="eastAsia" w:ascii="仿宋" w:hAnsi="仿宋" w:eastAsia="仿宋" w:cs="仿宋"/>
          <w:i w:val="0"/>
          <w:caps w:val="0"/>
          <w:color w:val="auto"/>
          <w:spacing w:val="0"/>
          <w:sz w:val="32"/>
          <w:szCs w:val="32"/>
          <w:shd w:val="clear" w:color="auto" w:fill="FFFFFF"/>
        </w:rPr>
        <w:t>职能股、室、站分别是办公室、市政设施管理站、工程股、</w:t>
      </w:r>
      <w:r>
        <w:rPr>
          <w:rFonts w:hint="eastAsia" w:ascii="仿宋" w:hAnsi="仿宋" w:eastAsia="仿宋" w:cs="仿宋"/>
          <w:i w:val="0"/>
          <w:caps w:val="0"/>
          <w:color w:val="auto"/>
          <w:spacing w:val="0"/>
          <w:sz w:val="32"/>
          <w:szCs w:val="32"/>
          <w:shd w:val="clear" w:color="auto" w:fill="FFFFFF"/>
          <w:lang w:eastAsia="zh-CN"/>
        </w:rPr>
        <w:t>质</w:t>
      </w:r>
      <w:r>
        <w:rPr>
          <w:rFonts w:hint="eastAsia" w:ascii="仿宋" w:hAnsi="仿宋" w:eastAsia="仿宋" w:cs="仿宋"/>
          <w:i w:val="0"/>
          <w:caps w:val="0"/>
          <w:color w:val="auto"/>
          <w:spacing w:val="0"/>
          <w:sz w:val="32"/>
          <w:szCs w:val="32"/>
          <w:shd w:val="clear" w:color="auto" w:fill="FFFFFF"/>
        </w:rPr>
        <w:t>安</w:t>
      </w:r>
      <w:r>
        <w:rPr>
          <w:rFonts w:hint="eastAsia" w:ascii="仿宋" w:hAnsi="仿宋" w:eastAsia="仿宋" w:cs="仿宋"/>
          <w:i w:val="0"/>
          <w:caps w:val="0"/>
          <w:color w:val="auto"/>
          <w:spacing w:val="0"/>
          <w:sz w:val="32"/>
          <w:szCs w:val="32"/>
          <w:shd w:val="clear" w:color="auto" w:fill="FFFFFF"/>
          <w:lang w:eastAsia="zh-CN"/>
        </w:rPr>
        <w:t>股</w:t>
      </w:r>
      <w:r>
        <w:rPr>
          <w:rFonts w:hint="eastAsia" w:ascii="仿宋" w:hAnsi="仿宋" w:eastAsia="仿宋" w:cs="仿宋"/>
          <w:i w:val="0"/>
          <w:caps w:val="0"/>
          <w:color w:val="auto"/>
          <w:spacing w:val="0"/>
          <w:sz w:val="32"/>
          <w:szCs w:val="32"/>
          <w:shd w:val="clear" w:color="auto" w:fill="FFFFFF"/>
        </w:rPr>
        <w:t>、住房保障股、城建科技股、村镇股、招标办、房地产业股。</w:t>
      </w:r>
      <w:r>
        <w:rPr>
          <w:rFonts w:hint="eastAsia" w:ascii="仿宋" w:hAnsi="仿宋" w:eastAsia="仿宋" w:cs="仿宋"/>
          <w:i w:val="0"/>
          <w:caps w:val="0"/>
          <w:color w:val="auto"/>
          <w:spacing w:val="0"/>
          <w:sz w:val="32"/>
          <w:szCs w:val="32"/>
          <w:shd w:val="clear" w:color="auto" w:fill="FFFFFF"/>
          <w:lang w:eastAsia="zh-CN"/>
        </w:rPr>
        <w:t>当年无变动情况。</w:t>
      </w:r>
    </w:p>
    <w:p>
      <w:pPr>
        <w:numPr>
          <w:ilvl w:val="0"/>
          <w:numId w:val="1"/>
        </w:num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人员情况，包括当年变动情况及原因。</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color w:val="auto"/>
          <w:sz w:val="32"/>
          <w:szCs w:val="32"/>
          <w:lang w:eastAsia="zh-CN"/>
        </w:rPr>
        <w:t>在职人员共计</w:t>
      </w:r>
      <w:r>
        <w:rPr>
          <w:rFonts w:hint="eastAsia" w:ascii="仿宋_GB2312" w:hAnsi="仿宋" w:eastAsia="仿宋_GB2312"/>
          <w:color w:val="auto"/>
          <w:sz w:val="32"/>
          <w:szCs w:val="32"/>
          <w:lang w:val="en-US" w:eastAsia="zh-CN"/>
        </w:rPr>
        <w:t>46人。当年较上年在职人员增加8人，主要因为本年五原县住房和城乡建设局调走1人，退休3人，五原县</w:t>
      </w:r>
      <w:r>
        <w:rPr>
          <w:rFonts w:hint="eastAsia" w:ascii="仿宋" w:hAnsi="仿宋" w:eastAsia="仿宋" w:cs="仿宋"/>
          <w:i w:val="0"/>
          <w:caps w:val="0"/>
          <w:color w:val="auto"/>
          <w:spacing w:val="0"/>
          <w:sz w:val="32"/>
          <w:szCs w:val="32"/>
          <w:shd w:val="clear" w:color="auto" w:fill="FFFFFF"/>
          <w:lang w:eastAsia="zh-CN"/>
        </w:rPr>
        <w:t>质监站</w:t>
      </w:r>
      <w:r>
        <w:rPr>
          <w:rFonts w:hint="eastAsia" w:ascii="仿宋" w:hAnsi="仿宋" w:eastAsia="仿宋" w:cs="仿宋"/>
          <w:i w:val="0"/>
          <w:caps w:val="0"/>
          <w:color w:val="auto"/>
          <w:spacing w:val="0"/>
          <w:sz w:val="32"/>
          <w:szCs w:val="32"/>
          <w:shd w:val="clear" w:color="auto" w:fill="FFFFFF"/>
          <w:lang w:val="en-US" w:eastAsia="zh-CN"/>
        </w:rPr>
        <w:t>合并到住建局12人。</w:t>
      </w:r>
    </w:p>
    <w:p>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（二）当年取得的主要事业成效。</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概述单位工作开展情况及主要事业成效。</w:t>
      </w:r>
    </w:p>
    <w:p>
      <w:pPr>
        <w:snapToGrid w:val="0"/>
        <w:spacing w:line="520" w:lineRule="exact"/>
        <w:ind w:firstLine="640" w:firstLineChars="200"/>
        <w:rPr>
          <w:rFonts w:hint="eastAsia" w:ascii="仿宋_GB2312" w:hAnsi="仿宋" w:eastAsia="仿宋_GB2312"/>
          <w:sz w:val="32"/>
          <w:szCs w:val="32"/>
        </w:rPr>
      </w:pPr>
      <w:r>
        <w:rPr>
          <w:rFonts w:hint="eastAsia" w:ascii="仿宋" w:hAnsi="仿宋" w:eastAsia="仿宋" w:cs="仿宋"/>
          <w:b w:val="0"/>
          <w:bCs w:val="0"/>
          <w:color w:val="auto"/>
          <w:sz w:val="32"/>
          <w:szCs w:val="32"/>
          <w:lang w:val="en-US" w:eastAsia="zh-CN"/>
        </w:rPr>
        <w:t>一是</w:t>
      </w:r>
      <w:r>
        <w:rPr>
          <w:rFonts w:hint="eastAsia" w:ascii="仿宋" w:hAnsi="仿宋" w:eastAsia="仿宋" w:cs="仿宋"/>
          <w:b w:val="0"/>
          <w:bCs w:val="0"/>
          <w:color w:val="auto"/>
          <w:sz w:val="32"/>
          <w:szCs w:val="32"/>
          <w:lang w:eastAsia="zh-CN"/>
        </w:rPr>
        <w:t>市政工程全面推进；</w:t>
      </w:r>
      <w:r>
        <w:rPr>
          <w:rFonts w:hint="eastAsia" w:ascii="仿宋" w:hAnsi="仿宋" w:eastAsia="仿宋" w:cs="仿宋"/>
          <w:b w:val="0"/>
          <w:bCs w:val="0"/>
          <w:color w:val="auto"/>
          <w:sz w:val="32"/>
          <w:szCs w:val="32"/>
          <w:lang w:val="en-US" w:eastAsia="zh-CN"/>
        </w:rPr>
        <w:t>二是农村危房改造工作效果显著</w:t>
      </w:r>
      <w:r>
        <w:rPr>
          <w:rFonts w:hint="eastAsia" w:ascii="仿宋" w:hAnsi="仿宋" w:eastAsia="仿宋" w:cs="仿宋"/>
          <w:b w:val="0"/>
          <w:bCs w:val="0"/>
          <w:color w:val="auto"/>
          <w:sz w:val="32"/>
          <w:szCs w:val="32"/>
          <w:lang w:eastAsia="zh-CN"/>
        </w:rPr>
        <w:t>；三是棚户区改造工作健康发展。</w:t>
      </w:r>
    </w:p>
    <w:p>
      <w:pPr>
        <w:snapToGrid w:val="0"/>
        <w:spacing w:line="520" w:lineRule="exact"/>
        <w:ind w:firstLine="640" w:firstLineChars="200"/>
        <w:rPr>
          <w:rFonts w:hint="eastAsia" w:ascii="黑体" w:hAnsi="黑体" w:eastAsia="黑体"/>
          <w:sz w:val="32"/>
          <w:szCs w:val="32"/>
        </w:rPr>
      </w:pPr>
      <w:bookmarkStart w:id="3" w:name="YS060102"/>
      <w:r>
        <w:rPr>
          <w:rFonts w:hint="eastAsia" w:ascii="黑体" w:hAnsi="黑体" w:eastAsia="黑体"/>
          <w:sz w:val="32"/>
          <w:szCs w:val="32"/>
        </w:rPr>
        <w:t>二、收入支出预算执行情况分析</w:t>
      </w:r>
    </w:p>
    <w:bookmarkEnd w:id="3"/>
    <w:p>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（一）收入支出预算安排情况。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包括单位收入、支出年初预算安排情况，与上年对比情况及增减变动原因(可用柱形图或折线图)。</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color w:val="auto"/>
          <w:sz w:val="32"/>
          <w:szCs w:val="32"/>
          <w:lang w:val="en-US" w:eastAsia="zh-CN"/>
        </w:rPr>
        <w:t>2022年</w:t>
      </w:r>
      <w:r>
        <w:rPr>
          <w:rFonts w:hint="eastAsia" w:ascii="仿宋_GB2312" w:hAnsi="仿宋" w:eastAsia="仿宋_GB2312"/>
          <w:color w:val="auto"/>
          <w:sz w:val="32"/>
          <w:szCs w:val="32"/>
        </w:rPr>
        <w:t>单位收入、支出年初预算</w:t>
      </w:r>
      <w:r>
        <w:rPr>
          <w:rFonts w:hint="eastAsia" w:ascii="仿宋_GB2312" w:hAnsi="仿宋" w:eastAsia="仿宋_GB2312"/>
          <w:color w:val="auto"/>
          <w:sz w:val="32"/>
          <w:szCs w:val="32"/>
          <w:lang w:eastAsia="zh-CN"/>
        </w:rPr>
        <w:t>为9,461,907.93元，人员经费为</w:t>
      </w:r>
      <w:r>
        <w:rPr>
          <w:rFonts w:hint="eastAsia" w:ascii="仿宋_GB2312" w:hAnsi="仿宋" w:eastAsia="仿宋_GB2312"/>
          <w:color w:val="auto"/>
          <w:sz w:val="32"/>
          <w:szCs w:val="32"/>
          <w:lang w:val="en-US" w:eastAsia="zh-CN"/>
        </w:rPr>
        <w:t>5,808,907.93</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，日常公用经费为98,000.00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,项目收入3,550,000.00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。2021年</w:t>
      </w:r>
      <w:r>
        <w:rPr>
          <w:rFonts w:hint="eastAsia" w:ascii="仿宋_GB2312" w:hAnsi="仿宋" w:eastAsia="仿宋_GB2312"/>
          <w:color w:val="auto"/>
          <w:sz w:val="32"/>
          <w:szCs w:val="32"/>
        </w:rPr>
        <w:t>单位收入、支出年初预算</w:t>
      </w:r>
      <w:r>
        <w:rPr>
          <w:rFonts w:hint="eastAsia" w:ascii="仿宋_GB2312" w:hAnsi="仿宋" w:eastAsia="仿宋_GB2312"/>
          <w:color w:val="auto"/>
          <w:sz w:val="32"/>
          <w:szCs w:val="32"/>
          <w:lang w:eastAsia="zh-CN"/>
        </w:rPr>
        <w:t>为13,883,057.00元，人员经费为</w:t>
      </w:r>
      <w:r>
        <w:rPr>
          <w:rFonts w:hint="eastAsia" w:ascii="仿宋_GB2312" w:hAnsi="仿宋" w:eastAsia="仿宋_GB2312"/>
          <w:color w:val="auto"/>
          <w:sz w:val="32"/>
          <w:szCs w:val="32"/>
          <w:lang w:val="en-US" w:eastAsia="zh-CN"/>
        </w:rPr>
        <w:t>4,058,557.00元，日常公用经费为3,824,500.00元，项目收入6,000,000.00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与</w:t>
      </w:r>
      <w:r>
        <w:rPr>
          <w:rFonts w:hint="eastAsia" w:ascii="仿宋_GB2312" w:hAnsi="仿宋" w:eastAsia="仿宋_GB2312"/>
          <w:color w:val="auto"/>
          <w:sz w:val="32"/>
          <w:szCs w:val="32"/>
          <w:lang w:val="en-US" w:eastAsia="zh-CN"/>
        </w:rPr>
        <w:t>2021年相比预算减少了4,421,149.07元，主要原因是污水处理厂项目移交至五原县城镇排水服务中心。</w:t>
      </w:r>
    </w:p>
    <w:p>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（二）收入支出预算执行情况。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当年收入支出预算执行基本情况，与上年度对比情况，包括增减绝对值与幅度，增减变动主要原因(可用柱形图或折线图)。</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color w:val="auto"/>
          <w:sz w:val="32"/>
          <w:szCs w:val="32"/>
          <w:lang w:val="en-US" w:eastAsia="zh-CN"/>
        </w:rPr>
        <w:t>2022年</w:t>
      </w:r>
      <w:r>
        <w:rPr>
          <w:rFonts w:hint="eastAsia" w:ascii="仿宋_GB2312" w:hAnsi="仿宋" w:eastAsia="仿宋_GB2312"/>
          <w:color w:val="auto"/>
          <w:sz w:val="32"/>
          <w:szCs w:val="32"/>
        </w:rPr>
        <w:t>单位收入、支出年初预算</w:t>
      </w:r>
      <w:r>
        <w:rPr>
          <w:rFonts w:hint="eastAsia" w:ascii="仿宋_GB2312" w:hAnsi="仿宋" w:eastAsia="仿宋_GB2312"/>
          <w:color w:val="auto"/>
          <w:sz w:val="32"/>
          <w:szCs w:val="32"/>
          <w:lang w:eastAsia="zh-CN"/>
        </w:rPr>
        <w:t>为9,461,907.93元，人员经费为</w:t>
      </w:r>
      <w:r>
        <w:rPr>
          <w:rFonts w:hint="eastAsia" w:ascii="仿宋_GB2312" w:hAnsi="仿宋" w:eastAsia="仿宋_GB2312"/>
          <w:color w:val="auto"/>
          <w:sz w:val="32"/>
          <w:szCs w:val="32"/>
          <w:lang w:val="en-US" w:eastAsia="zh-CN"/>
        </w:rPr>
        <w:t>5,808,907.93</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，日常公用经费为98,000.00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,项目收入3,550,000.00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。2021年</w:t>
      </w:r>
      <w:r>
        <w:rPr>
          <w:rFonts w:hint="eastAsia" w:ascii="仿宋_GB2312" w:hAnsi="仿宋" w:eastAsia="仿宋_GB2312"/>
          <w:color w:val="auto"/>
          <w:sz w:val="32"/>
          <w:szCs w:val="32"/>
        </w:rPr>
        <w:t>单位收入、支出年初预算</w:t>
      </w:r>
      <w:r>
        <w:rPr>
          <w:rFonts w:hint="eastAsia" w:ascii="仿宋_GB2312" w:hAnsi="仿宋" w:eastAsia="仿宋_GB2312"/>
          <w:color w:val="auto"/>
          <w:sz w:val="32"/>
          <w:szCs w:val="32"/>
          <w:lang w:eastAsia="zh-CN"/>
        </w:rPr>
        <w:t>为13,883,057.00元，人员经费为</w:t>
      </w:r>
      <w:r>
        <w:rPr>
          <w:rFonts w:hint="eastAsia" w:ascii="仿宋_GB2312" w:hAnsi="仿宋" w:eastAsia="仿宋_GB2312"/>
          <w:color w:val="auto"/>
          <w:sz w:val="32"/>
          <w:szCs w:val="32"/>
          <w:lang w:val="en-US" w:eastAsia="zh-CN"/>
        </w:rPr>
        <w:t>4,058,557.00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，日常公用经费为3,824,500.00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,项目收入6,000,000.00</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与</w:t>
      </w:r>
      <w:r>
        <w:rPr>
          <w:rFonts w:hint="eastAsia" w:ascii="仿宋_GB2312" w:hAnsi="仿宋" w:eastAsia="仿宋_GB2312"/>
          <w:color w:val="auto"/>
          <w:sz w:val="32"/>
          <w:szCs w:val="32"/>
          <w:lang w:val="en-US" w:eastAsia="zh-CN"/>
        </w:rPr>
        <w:t>2021年相比预算减少了4,421,149.07元，主要原因是污水处理厂项目移交至五原县城镇排水服务中心。</w:t>
      </w:r>
    </w:p>
    <w:p>
      <w:pPr>
        <w:snapToGrid w:val="0"/>
        <w:spacing w:line="520" w:lineRule="exact"/>
        <w:ind w:firstLine="643" w:firstLineChars="200"/>
        <w:rPr>
          <w:rFonts w:hint="eastAsia" w:ascii="仿宋_GB2312" w:hAnsi="仿宋" w:eastAsia="仿宋_GB2312"/>
          <w:b/>
          <w:sz w:val="32"/>
          <w:szCs w:val="32"/>
        </w:rPr>
      </w:pPr>
      <w:r>
        <w:rPr>
          <w:rFonts w:hint="eastAsia" w:ascii="仿宋_GB2312" w:hAnsi="仿宋" w:eastAsia="仿宋_GB2312"/>
          <w:b/>
          <w:sz w:val="32"/>
          <w:szCs w:val="32"/>
        </w:rPr>
        <w:t>1．收入支出与预算对比分析。</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（1）预、决算差异情况，可分收入支出功能科目、分单位、分收入支出具体项目逐项对比（可列表）。</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color w:val="auto"/>
          <w:sz w:val="32"/>
          <w:szCs w:val="32"/>
        </w:rPr>
        <w:t>（1）</w:t>
      </w:r>
      <w:r>
        <w:rPr>
          <w:rFonts w:hint="eastAsia" w:ascii="仿宋_GB2312" w:hAnsi="仿宋" w:eastAsia="仿宋_GB2312"/>
          <w:color w:val="auto"/>
          <w:sz w:val="32"/>
          <w:szCs w:val="32"/>
          <w:lang w:val="en-US" w:eastAsia="zh-CN"/>
        </w:rPr>
        <w:t>2022</w:t>
      </w:r>
      <w:r>
        <w:rPr>
          <w:rFonts w:hint="eastAsia" w:ascii="仿宋_GB2312" w:hAnsi="仿宋" w:eastAsia="仿宋_GB2312"/>
          <w:color w:val="auto"/>
          <w:sz w:val="32"/>
          <w:szCs w:val="32"/>
        </w:rPr>
        <w:t>年收入</w:t>
      </w:r>
      <w:r>
        <w:rPr>
          <w:rFonts w:hint="eastAsia" w:ascii="仿宋_GB2312" w:hAnsi="仿宋" w:eastAsia="仿宋_GB2312"/>
          <w:color w:val="auto"/>
          <w:sz w:val="32"/>
          <w:szCs w:val="32"/>
          <w:lang w:eastAsia="zh-CN"/>
        </w:rPr>
        <w:t>、支出预算数</w:t>
      </w:r>
      <w:bookmarkStart w:id="4" w:name="OLE_LINK1"/>
      <w:r>
        <w:rPr>
          <w:rFonts w:hint="eastAsia" w:ascii="仿宋_GB2312" w:hAnsi="仿宋" w:eastAsia="仿宋_GB2312"/>
          <w:color w:val="auto"/>
          <w:sz w:val="32"/>
          <w:szCs w:val="32"/>
          <w:lang w:eastAsia="zh-CN"/>
        </w:rPr>
        <w:t>9,461,907.93</w:t>
      </w:r>
      <w:bookmarkEnd w:id="4"/>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rPr>
        <w:t>收入决算数为</w:t>
      </w:r>
      <w:r>
        <w:rPr>
          <w:rFonts w:hint="eastAsia" w:ascii="仿宋_GB2312" w:hAnsi="仿宋" w:eastAsia="仿宋_GB2312"/>
          <w:color w:val="auto"/>
          <w:sz w:val="32"/>
          <w:szCs w:val="32"/>
          <w:lang w:val="en-US" w:eastAsia="zh-CN"/>
        </w:rPr>
        <w:t>77,924,738.96</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rPr>
        <w:t>，支出决算数为</w:t>
      </w:r>
      <w:r>
        <w:rPr>
          <w:rFonts w:hint="eastAsia" w:ascii="仿宋_GB2312" w:hAnsi="仿宋" w:eastAsia="仿宋_GB2312"/>
          <w:color w:val="auto"/>
          <w:sz w:val="32"/>
          <w:szCs w:val="32"/>
          <w:lang w:val="en-US" w:eastAsia="zh-CN"/>
        </w:rPr>
        <w:t>77,777,167.14元</w:t>
      </w:r>
      <w:r>
        <w:rPr>
          <w:rFonts w:hint="eastAsia" w:ascii="仿宋_GB2312" w:hAnsi="仿宋" w:eastAsia="仿宋_GB2312"/>
          <w:color w:val="auto"/>
          <w:sz w:val="32"/>
          <w:szCs w:val="32"/>
        </w:rPr>
        <w:t>，收入增加</w:t>
      </w:r>
      <w:r>
        <w:rPr>
          <w:rFonts w:hint="eastAsia" w:ascii="仿宋_GB2312" w:hAnsi="仿宋" w:eastAsia="仿宋_GB2312"/>
          <w:color w:val="auto"/>
          <w:sz w:val="32"/>
          <w:szCs w:val="32"/>
          <w:lang w:val="en-US" w:eastAsia="zh-CN"/>
        </w:rPr>
        <w:t>68,462,831.03</w:t>
      </w:r>
      <w:r>
        <w:rPr>
          <w:rFonts w:hint="eastAsia" w:ascii="仿宋_GB2312" w:hAnsi="仿宋" w:eastAsia="仿宋_GB2312"/>
          <w:color w:val="auto"/>
          <w:sz w:val="32"/>
          <w:szCs w:val="32"/>
          <w:lang w:eastAsia="zh-CN"/>
        </w:rPr>
        <w:t>元</w:t>
      </w: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增加</w:t>
      </w:r>
      <w:r>
        <w:rPr>
          <w:rFonts w:hint="eastAsia" w:ascii="仿宋_GB2312" w:hAnsi="仿宋" w:eastAsia="仿宋_GB2312"/>
          <w:color w:val="auto"/>
          <w:sz w:val="32"/>
          <w:szCs w:val="32"/>
          <w:lang w:val="en-US" w:eastAsia="zh-CN"/>
        </w:rPr>
        <w:t>724%；</w:t>
      </w:r>
      <w:r>
        <w:rPr>
          <w:rFonts w:hint="eastAsia" w:ascii="仿宋_GB2312" w:hAnsi="仿宋" w:eastAsia="仿宋_GB2312"/>
          <w:color w:val="auto"/>
          <w:sz w:val="32"/>
          <w:szCs w:val="32"/>
        </w:rPr>
        <w:t>支出增加</w:t>
      </w:r>
      <w:r>
        <w:rPr>
          <w:rFonts w:hint="eastAsia" w:ascii="仿宋_GB2312" w:hAnsi="仿宋" w:eastAsia="仿宋_GB2312"/>
          <w:color w:val="auto"/>
          <w:sz w:val="32"/>
          <w:szCs w:val="32"/>
          <w:lang w:val="en-US" w:eastAsia="zh-CN"/>
        </w:rPr>
        <w:t>68,315,259.21万</w:t>
      </w:r>
      <w:r>
        <w:rPr>
          <w:rFonts w:hint="eastAsia" w:ascii="仿宋_GB2312" w:hAnsi="仿宋" w:eastAsia="仿宋_GB2312"/>
          <w:color w:val="auto"/>
          <w:sz w:val="32"/>
          <w:szCs w:val="32"/>
        </w:rPr>
        <w:t>元，增加</w:t>
      </w:r>
      <w:r>
        <w:rPr>
          <w:rFonts w:hint="eastAsia" w:ascii="仿宋_GB2312" w:hAnsi="仿宋" w:eastAsia="仿宋_GB2312"/>
          <w:color w:val="auto"/>
          <w:sz w:val="32"/>
          <w:szCs w:val="32"/>
          <w:lang w:val="en-US" w:eastAsia="zh-CN"/>
        </w:rPr>
        <w:t>722</w:t>
      </w:r>
      <w:r>
        <w:rPr>
          <w:rFonts w:hint="eastAsia" w:ascii="仿宋_GB2312" w:hAnsi="仿宋" w:eastAsia="仿宋_GB2312"/>
          <w:color w:val="auto"/>
          <w:sz w:val="32"/>
          <w:szCs w:val="32"/>
        </w:rPr>
        <w:t>%。</w:t>
      </w:r>
    </w:p>
    <w:p>
      <w:pPr>
        <w:numPr>
          <w:ilvl w:val="0"/>
          <w:numId w:val="2"/>
        </w:num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差异原因分析。差异较大的应分析到具体收入支出功能科目和具体单位。</w:t>
      </w:r>
    </w:p>
    <w:p>
      <w:pPr>
        <w:numPr>
          <w:ilvl w:val="0"/>
          <w:numId w:val="0"/>
        </w:numPr>
        <w:snapToGrid w:val="0"/>
        <w:spacing w:line="520" w:lineRule="exact"/>
        <w:ind w:firstLine="640" w:firstLineChars="200"/>
        <w:rPr>
          <w:rFonts w:hint="eastAsia" w:ascii="仿宋_GB2312" w:hAnsi="仿宋" w:eastAsia="仿宋_GB2312"/>
          <w:sz w:val="32"/>
          <w:szCs w:val="32"/>
        </w:rPr>
      </w:pPr>
      <w:r>
        <w:rPr>
          <w:rFonts w:hint="eastAsia" w:ascii="仿宋" w:hAnsi="仿宋" w:eastAsia="仿宋" w:cs="仿宋"/>
          <w:b w:val="0"/>
          <w:bCs w:val="0"/>
          <w:color w:val="auto"/>
          <w:sz w:val="32"/>
          <w:szCs w:val="32"/>
        </w:rPr>
        <w:t>形成以上差异的原因：</w:t>
      </w:r>
      <w:r>
        <w:rPr>
          <w:rFonts w:hint="eastAsia" w:ascii="仿宋" w:hAnsi="仿宋" w:eastAsia="仿宋" w:cs="仿宋"/>
          <w:b w:val="0"/>
          <w:bCs w:val="0"/>
          <w:color w:val="auto"/>
          <w:sz w:val="32"/>
          <w:szCs w:val="32"/>
          <w:lang w:val="en-US" w:eastAsia="zh-CN"/>
        </w:rPr>
        <w:t>一是岗位、薪级工资调增，二是发放2020年带薪休假，</w:t>
      </w:r>
    </w:p>
    <w:p>
      <w:pPr>
        <w:snapToGrid w:val="0"/>
        <w:spacing w:line="520" w:lineRule="exact"/>
        <w:ind w:firstLine="643" w:firstLineChars="200"/>
        <w:rPr>
          <w:rFonts w:hint="eastAsia" w:ascii="仿宋_GB2312" w:hAnsi="仿宋" w:eastAsia="仿宋_GB2312"/>
          <w:b/>
          <w:sz w:val="32"/>
          <w:szCs w:val="32"/>
        </w:rPr>
      </w:pPr>
      <w:r>
        <w:rPr>
          <w:rFonts w:hint="eastAsia" w:ascii="仿宋_GB2312" w:hAnsi="仿宋" w:eastAsia="仿宋_GB2312"/>
          <w:b/>
          <w:sz w:val="32"/>
          <w:szCs w:val="32"/>
        </w:rPr>
        <w:t>2．收入支出结构分析。</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（1）各项收入占总收入的比重，各项支出占总支出的比重（可分别制作饼状图）。</w:t>
      </w:r>
    </w:p>
    <w:tbl>
      <w:tblPr>
        <w:tblStyle w:val="4"/>
        <w:tblW w:w="900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2353"/>
        <w:gridCol w:w="1456"/>
        <w:gridCol w:w="2145"/>
        <w:gridCol w:w="1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949" w:type="dxa"/>
            <w:noWrap w:val="0"/>
            <w:vAlign w:val="top"/>
          </w:tcPr>
          <w:p>
            <w:pPr>
              <w:ind w:firstLine="840" w:firstLineChars="300"/>
              <w:rPr>
                <w:rFonts w:hint="eastAsia" w:ascii="仿宋" w:hAnsi="仿宋" w:eastAsia="仿宋" w:cs="仿宋"/>
                <w:sz w:val="28"/>
                <w:szCs w:val="28"/>
              </w:rPr>
            </w:pPr>
            <w:r>
              <w:rPr>
                <w:rFonts w:hint="eastAsia" w:ascii="仿宋" w:hAnsi="仿宋" w:eastAsia="仿宋" w:cs="仿宋"/>
                <w:sz w:val="28"/>
                <w:szCs w:val="28"/>
              </w:rPr>
              <w:t>收支科目</w:t>
            </w:r>
          </w:p>
        </w:tc>
        <w:tc>
          <w:tcPr>
            <w:tcW w:w="2353"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收入数（元）</w:t>
            </w:r>
          </w:p>
        </w:tc>
        <w:tc>
          <w:tcPr>
            <w:tcW w:w="1456"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占比%</w:t>
            </w:r>
          </w:p>
        </w:tc>
        <w:tc>
          <w:tcPr>
            <w:tcW w:w="2145"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支出数（元）</w:t>
            </w:r>
          </w:p>
        </w:tc>
        <w:tc>
          <w:tcPr>
            <w:tcW w:w="1097"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949" w:type="dxa"/>
            <w:noWrap w:val="0"/>
            <w:vAlign w:val="top"/>
          </w:tcPr>
          <w:p>
            <w:pPr>
              <w:jc w:val="left"/>
              <w:rPr>
                <w:rFonts w:hint="eastAsia" w:ascii="仿宋" w:hAnsi="仿宋" w:eastAsia="仿宋" w:cs="仿宋"/>
                <w:sz w:val="28"/>
                <w:szCs w:val="28"/>
              </w:rPr>
            </w:pPr>
            <w:r>
              <w:rPr>
                <w:rFonts w:hint="eastAsia" w:ascii="仿宋" w:hAnsi="仿宋" w:eastAsia="仿宋" w:cs="仿宋"/>
                <w:sz w:val="28"/>
                <w:szCs w:val="28"/>
              </w:rPr>
              <w:t>人员经费</w:t>
            </w:r>
          </w:p>
        </w:tc>
        <w:tc>
          <w:tcPr>
            <w:tcW w:w="2353" w:type="dxa"/>
            <w:noWrap w:val="0"/>
            <w:vAlign w:val="top"/>
          </w:tcPr>
          <w:p>
            <w:pPr>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9,184,112.56</w:t>
            </w:r>
          </w:p>
        </w:tc>
        <w:tc>
          <w:tcPr>
            <w:tcW w:w="1456" w:type="dxa"/>
            <w:noWrap w:val="0"/>
            <w:vAlign w:val="top"/>
          </w:tcPr>
          <w:p>
            <w:pPr>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11.8</w:t>
            </w:r>
          </w:p>
        </w:tc>
        <w:tc>
          <w:tcPr>
            <w:tcW w:w="2145" w:type="dxa"/>
            <w:noWrap w:val="0"/>
            <w:vAlign w:val="top"/>
          </w:tcPr>
          <w:p>
            <w:pPr>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9,184,112.56</w:t>
            </w:r>
          </w:p>
        </w:tc>
        <w:tc>
          <w:tcPr>
            <w:tcW w:w="1097" w:type="dxa"/>
            <w:noWrap w:val="0"/>
            <w:vAlign w:val="top"/>
          </w:tcPr>
          <w:p>
            <w:pPr>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949"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日常经费</w:t>
            </w:r>
          </w:p>
        </w:tc>
        <w:tc>
          <w:tcPr>
            <w:tcW w:w="2353" w:type="dxa"/>
            <w:noWrap w:val="0"/>
            <w:vAlign w:val="top"/>
          </w:tcPr>
          <w:p>
            <w:pPr>
              <w:jc w:val="cente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3</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307</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820.81</w:t>
            </w:r>
          </w:p>
        </w:tc>
        <w:tc>
          <w:tcPr>
            <w:tcW w:w="1456" w:type="dxa"/>
            <w:noWrap w:val="0"/>
            <w:vAlign w:val="top"/>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4.2</w:t>
            </w:r>
          </w:p>
        </w:tc>
        <w:tc>
          <w:tcPr>
            <w:tcW w:w="2145" w:type="dxa"/>
            <w:noWrap w:val="0"/>
            <w:vAlign w:val="top"/>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3,207,522.99</w:t>
            </w:r>
          </w:p>
        </w:tc>
        <w:tc>
          <w:tcPr>
            <w:tcW w:w="1097" w:type="dxa"/>
            <w:noWrap w:val="0"/>
            <w:vAlign w:val="top"/>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949" w:type="dxa"/>
            <w:noWrap w:val="0"/>
            <w:vAlign w:val="top"/>
          </w:tcPr>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项目</w:t>
            </w:r>
          </w:p>
        </w:tc>
        <w:tc>
          <w:tcPr>
            <w:tcW w:w="2353" w:type="dxa"/>
            <w:noWrap w:val="0"/>
            <w:vAlign w:val="top"/>
          </w:tcPr>
          <w:p>
            <w:p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6</w:t>
            </w:r>
            <w:r>
              <w:rPr>
                <w:rFonts w:hint="eastAsia" w:ascii="仿宋" w:hAnsi="仿宋" w:eastAsia="仿宋" w:cs="仿宋"/>
                <w:sz w:val="28"/>
                <w:szCs w:val="28"/>
                <w:lang w:val="en-US" w:eastAsia="zh-CN"/>
              </w:rPr>
              <w:t>5,</w:t>
            </w:r>
            <w:r>
              <w:rPr>
                <w:rFonts w:hint="default" w:ascii="仿宋" w:hAnsi="仿宋" w:eastAsia="仿宋" w:cs="仿宋"/>
                <w:sz w:val="28"/>
                <w:szCs w:val="28"/>
                <w:lang w:val="en-US" w:eastAsia="zh-CN"/>
              </w:rPr>
              <w:t>432</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805.59</w:t>
            </w:r>
          </w:p>
        </w:tc>
        <w:tc>
          <w:tcPr>
            <w:tcW w:w="1456" w:type="dxa"/>
            <w:noWrap w:val="0"/>
            <w:vAlign w:val="top"/>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84</w:t>
            </w:r>
          </w:p>
        </w:tc>
        <w:tc>
          <w:tcPr>
            <w:tcW w:w="2145" w:type="dxa"/>
            <w:noWrap w:val="0"/>
            <w:vAlign w:val="top"/>
          </w:tcPr>
          <w:p>
            <w:p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65,164,785.57</w:t>
            </w:r>
          </w:p>
        </w:tc>
        <w:tc>
          <w:tcPr>
            <w:tcW w:w="1097" w:type="dxa"/>
            <w:noWrap w:val="0"/>
            <w:vAlign w:val="top"/>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949" w:type="dxa"/>
            <w:noWrap w:val="0"/>
            <w:vAlign w:val="top"/>
          </w:tcPr>
          <w:p>
            <w:pPr>
              <w:ind w:firstLine="560" w:firstLineChars="200"/>
              <w:rPr>
                <w:rFonts w:hint="eastAsia" w:ascii="仿宋" w:hAnsi="仿宋" w:eastAsia="仿宋" w:cs="仿宋"/>
                <w:sz w:val="28"/>
                <w:szCs w:val="28"/>
              </w:rPr>
            </w:pPr>
            <w:r>
              <w:rPr>
                <w:rFonts w:hint="eastAsia" w:ascii="仿宋" w:hAnsi="仿宋" w:eastAsia="仿宋" w:cs="仿宋"/>
                <w:sz w:val="28"/>
                <w:szCs w:val="28"/>
              </w:rPr>
              <w:t>合计</w:t>
            </w:r>
          </w:p>
        </w:tc>
        <w:tc>
          <w:tcPr>
            <w:tcW w:w="2353" w:type="dxa"/>
            <w:noWrap w:val="0"/>
            <w:vAlign w:val="top"/>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77,924,738.96</w:t>
            </w:r>
          </w:p>
        </w:tc>
        <w:tc>
          <w:tcPr>
            <w:tcW w:w="1456"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100</w:t>
            </w:r>
          </w:p>
        </w:tc>
        <w:tc>
          <w:tcPr>
            <w:tcW w:w="2145" w:type="dxa"/>
            <w:noWrap w:val="0"/>
            <w:vAlign w:val="top"/>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77,556,421.12</w:t>
            </w:r>
          </w:p>
        </w:tc>
        <w:tc>
          <w:tcPr>
            <w:tcW w:w="1097" w:type="dxa"/>
            <w:noWrap w:val="0"/>
            <w:vAlign w:val="top"/>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100</w:t>
            </w:r>
          </w:p>
        </w:tc>
      </w:tr>
    </w:tbl>
    <w:p>
      <w:pPr>
        <w:snapToGrid w:val="0"/>
        <w:spacing w:line="520" w:lineRule="exact"/>
        <w:ind w:firstLine="0" w:firstLineChars="0"/>
        <w:rPr>
          <w:rFonts w:hint="eastAsia" w:ascii="仿宋_GB2312" w:hAnsi="仿宋" w:eastAsia="仿宋_GB2312"/>
          <w:sz w:val="32"/>
          <w:szCs w:val="32"/>
        </w:rPr>
      </w:pPr>
    </w:p>
    <w:p>
      <w:pPr>
        <w:numPr>
          <w:ilvl w:val="0"/>
          <w:numId w:val="0"/>
        </w:num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收入支出与上年度对比情况及原因分析(可用柱形图或折线图)。</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2542"/>
        <w:gridCol w:w="2563"/>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86"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项目</w:t>
            </w:r>
          </w:p>
        </w:tc>
        <w:tc>
          <w:tcPr>
            <w:tcW w:w="2542"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20</w:t>
            </w:r>
            <w:r>
              <w:rPr>
                <w:rFonts w:hint="eastAsia" w:ascii="仿宋" w:hAnsi="仿宋" w:eastAsia="仿宋" w:cs="仿宋"/>
                <w:sz w:val="28"/>
                <w:szCs w:val="28"/>
                <w:lang w:val="en-US" w:eastAsia="zh-CN"/>
              </w:rPr>
              <w:t>22</w:t>
            </w:r>
            <w:r>
              <w:rPr>
                <w:rFonts w:hint="eastAsia" w:ascii="仿宋" w:hAnsi="仿宋" w:eastAsia="仿宋" w:cs="仿宋"/>
                <w:sz w:val="28"/>
                <w:szCs w:val="28"/>
              </w:rPr>
              <w:t>年支出数（元）</w:t>
            </w:r>
          </w:p>
        </w:tc>
        <w:tc>
          <w:tcPr>
            <w:tcW w:w="2563"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20</w:t>
            </w:r>
            <w:r>
              <w:rPr>
                <w:rFonts w:hint="eastAsia" w:ascii="仿宋" w:hAnsi="仿宋" w:eastAsia="仿宋" w:cs="仿宋"/>
                <w:sz w:val="28"/>
                <w:szCs w:val="28"/>
                <w:lang w:val="en-US" w:eastAsia="zh-CN"/>
              </w:rPr>
              <w:t>21</w:t>
            </w:r>
            <w:r>
              <w:rPr>
                <w:rFonts w:hint="eastAsia" w:ascii="仿宋" w:hAnsi="仿宋" w:eastAsia="仿宋" w:cs="仿宋"/>
                <w:sz w:val="28"/>
                <w:szCs w:val="28"/>
              </w:rPr>
              <w:t>年支出数（元）</w:t>
            </w:r>
          </w:p>
        </w:tc>
        <w:tc>
          <w:tcPr>
            <w:tcW w:w="1631"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786" w:type="dxa"/>
            <w:noWrap w:val="0"/>
            <w:vAlign w:val="top"/>
          </w:tcPr>
          <w:p>
            <w:pPr>
              <w:rPr>
                <w:rFonts w:hint="eastAsia" w:ascii="仿宋" w:hAnsi="仿宋" w:eastAsia="仿宋" w:cs="仿宋"/>
                <w:sz w:val="28"/>
                <w:szCs w:val="28"/>
                <w:lang w:eastAsia="zh-CN"/>
              </w:rPr>
            </w:pPr>
            <w:r>
              <w:rPr>
                <w:rFonts w:hint="eastAsia" w:ascii="仿宋" w:hAnsi="仿宋" w:eastAsia="仿宋" w:cs="仿宋"/>
                <w:sz w:val="28"/>
                <w:szCs w:val="28"/>
                <w:lang w:eastAsia="zh-CN"/>
              </w:rPr>
              <w:t>收入</w:t>
            </w:r>
          </w:p>
        </w:tc>
        <w:tc>
          <w:tcPr>
            <w:tcW w:w="2542" w:type="dxa"/>
            <w:noWrap w:val="0"/>
            <w:vAlign w:val="top"/>
          </w:tcPr>
          <w:p>
            <w:p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77,924,738.96</w:t>
            </w:r>
          </w:p>
        </w:tc>
        <w:tc>
          <w:tcPr>
            <w:tcW w:w="2563" w:type="dxa"/>
            <w:noWrap w:val="0"/>
            <w:vAlign w:val="top"/>
          </w:tcPr>
          <w:p>
            <w:p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187,507,350.85</w:t>
            </w:r>
          </w:p>
        </w:tc>
        <w:tc>
          <w:tcPr>
            <w:tcW w:w="1631" w:type="dxa"/>
            <w:noWrap w:val="0"/>
            <w:vAlign w:val="top"/>
          </w:tcPr>
          <w:p>
            <w:p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6" w:type="dxa"/>
            <w:noWrap w:val="0"/>
            <w:vAlign w:val="top"/>
          </w:tcPr>
          <w:p>
            <w:pPr>
              <w:rPr>
                <w:rFonts w:hint="eastAsia" w:ascii="仿宋" w:hAnsi="仿宋" w:eastAsia="仿宋" w:cs="仿宋"/>
                <w:sz w:val="28"/>
                <w:szCs w:val="28"/>
                <w:lang w:eastAsia="zh-CN"/>
              </w:rPr>
            </w:pPr>
            <w:r>
              <w:rPr>
                <w:rFonts w:hint="eastAsia" w:ascii="仿宋" w:hAnsi="仿宋" w:eastAsia="仿宋" w:cs="仿宋"/>
                <w:sz w:val="28"/>
                <w:szCs w:val="28"/>
                <w:lang w:eastAsia="zh-CN"/>
              </w:rPr>
              <w:t>支出</w:t>
            </w:r>
          </w:p>
        </w:tc>
        <w:tc>
          <w:tcPr>
            <w:tcW w:w="2542" w:type="dxa"/>
            <w:noWrap w:val="0"/>
            <w:vAlign w:val="top"/>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77,556,421.12</w:t>
            </w:r>
          </w:p>
        </w:tc>
        <w:tc>
          <w:tcPr>
            <w:tcW w:w="2563" w:type="dxa"/>
            <w:noWrap w:val="0"/>
            <w:vAlign w:val="top"/>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192,548,176.85</w:t>
            </w:r>
          </w:p>
        </w:tc>
        <w:tc>
          <w:tcPr>
            <w:tcW w:w="1631" w:type="dxa"/>
            <w:noWrap w:val="0"/>
            <w:vAlign w:val="top"/>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-59.7%</w:t>
            </w:r>
          </w:p>
        </w:tc>
      </w:tr>
    </w:tbl>
    <w:p>
      <w:pPr>
        <w:numPr>
          <w:ilvl w:val="0"/>
          <w:numId w:val="0"/>
        </w:numPr>
        <w:snapToGrid w:val="0"/>
        <w:spacing w:line="520" w:lineRule="exact"/>
        <w:ind w:firstLine="0" w:firstLineChars="0"/>
        <w:rPr>
          <w:rFonts w:hint="eastAsia" w:ascii="仿宋_GB2312" w:hAnsi="仿宋" w:eastAsia="仿宋_GB2312"/>
          <w:sz w:val="32"/>
          <w:szCs w:val="32"/>
          <w:lang w:val="en-US" w:eastAsia="zh-CN"/>
        </w:rPr>
      </w:pPr>
    </w:p>
    <w:p>
      <w:pPr>
        <w:snapToGrid w:val="0"/>
        <w:spacing w:line="520" w:lineRule="exact"/>
        <w:ind w:firstLine="643" w:firstLineChars="200"/>
        <w:rPr>
          <w:rFonts w:hint="eastAsia" w:ascii="仿宋_GB2312" w:hAnsi="仿宋" w:eastAsia="仿宋_GB2312"/>
          <w:b/>
          <w:sz w:val="32"/>
          <w:szCs w:val="32"/>
        </w:rPr>
      </w:pPr>
      <w:r>
        <w:rPr>
          <w:rFonts w:hint="eastAsia" w:ascii="仿宋_GB2312" w:hAnsi="仿宋" w:eastAsia="仿宋_GB2312"/>
          <w:b/>
          <w:sz w:val="32"/>
          <w:szCs w:val="32"/>
        </w:rPr>
        <w:t>3．支出按经济分类科目分析。</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（1）“三公”经费支出情况：</w:t>
      </w:r>
      <w:r>
        <w:rPr>
          <w:rFonts w:hint="eastAsia" w:ascii="仿宋_GB2312" w:hAnsi="仿宋" w:eastAsia="仿宋_GB2312"/>
          <w:sz w:val="32"/>
          <w:szCs w:val="32"/>
          <w:lang w:val="en-US" w:eastAsia="zh-CN"/>
        </w:rPr>
        <w:t>2022年三公经费支出发生2843元，2021年无三公经费支出。</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（2）会议费支出情况：</w:t>
      </w:r>
      <w:r>
        <w:rPr>
          <w:rFonts w:hint="eastAsia" w:ascii="仿宋_GB2312" w:hAnsi="仿宋" w:eastAsia="仿宋_GB2312"/>
          <w:sz w:val="32"/>
          <w:szCs w:val="32"/>
          <w:lang w:val="en-US" w:eastAsia="zh-CN"/>
        </w:rPr>
        <w:t>2022年与2021年无会议费支出。</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（3）培训费支出情况：可进行上下年对比，人均支出情况分析（可做表、柱图、折线图）。</w:t>
      </w:r>
    </w:p>
    <w:tbl>
      <w:tblPr>
        <w:tblStyle w:val="4"/>
        <w:tblpPr w:leftFromText="180" w:rightFromText="180" w:vertAnchor="text" w:horzAnchor="page" w:tblpX="1792" w:tblpY="91"/>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1"/>
        <w:gridCol w:w="1545"/>
        <w:gridCol w:w="1470"/>
        <w:gridCol w:w="1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1"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项目</w:t>
            </w:r>
          </w:p>
        </w:tc>
        <w:tc>
          <w:tcPr>
            <w:tcW w:w="1545"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20</w:t>
            </w:r>
            <w:r>
              <w:rPr>
                <w:rFonts w:hint="eastAsia" w:ascii="仿宋" w:hAnsi="仿宋" w:eastAsia="仿宋" w:cs="仿宋"/>
                <w:sz w:val="28"/>
                <w:szCs w:val="28"/>
                <w:lang w:val="en-US" w:eastAsia="zh-CN"/>
              </w:rPr>
              <w:t>22</w:t>
            </w:r>
            <w:r>
              <w:rPr>
                <w:rFonts w:hint="eastAsia" w:ascii="仿宋" w:hAnsi="仿宋" w:eastAsia="仿宋" w:cs="仿宋"/>
                <w:sz w:val="28"/>
                <w:szCs w:val="28"/>
              </w:rPr>
              <w:t>年支出数（元）</w:t>
            </w:r>
          </w:p>
        </w:tc>
        <w:tc>
          <w:tcPr>
            <w:tcW w:w="1470"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021</w:t>
            </w:r>
            <w:r>
              <w:rPr>
                <w:rFonts w:hint="eastAsia" w:ascii="仿宋" w:hAnsi="仿宋" w:eastAsia="仿宋" w:cs="仿宋"/>
                <w:sz w:val="28"/>
                <w:szCs w:val="28"/>
              </w:rPr>
              <w:t>年支出数（元）</w:t>
            </w:r>
          </w:p>
        </w:tc>
        <w:tc>
          <w:tcPr>
            <w:tcW w:w="1816" w:type="dxa"/>
            <w:noWrap w:val="0"/>
            <w:vAlign w:val="top"/>
          </w:tcPr>
          <w:p>
            <w:pPr>
              <w:rPr>
                <w:rFonts w:hint="eastAsia" w:ascii="仿宋" w:hAnsi="仿宋" w:eastAsia="仿宋" w:cs="仿宋"/>
                <w:sz w:val="28"/>
                <w:szCs w:val="28"/>
              </w:rPr>
            </w:pPr>
            <w:r>
              <w:rPr>
                <w:rFonts w:hint="eastAsia" w:ascii="仿宋" w:hAnsi="仿宋" w:eastAsia="仿宋" w:cs="仿宋"/>
                <w:sz w:val="28"/>
                <w:szCs w:val="28"/>
              </w:rPr>
              <w:t>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3691" w:type="dxa"/>
            <w:noWrap w:val="0"/>
            <w:vAlign w:val="top"/>
          </w:tcPr>
          <w:p>
            <w:pPr>
              <w:rPr>
                <w:rFonts w:hint="eastAsia" w:ascii="仿宋" w:hAnsi="仿宋" w:eastAsia="仿宋" w:cs="仿宋"/>
                <w:sz w:val="28"/>
                <w:szCs w:val="28"/>
              </w:rPr>
            </w:pPr>
            <w:r>
              <w:rPr>
                <w:rFonts w:hint="eastAsia" w:ascii="仿宋_GB2312" w:hAnsi="仿宋" w:eastAsia="仿宋_GB2312"/>
                <w:sz w:val="32"/>
                <w:szCs w:val="32"/>
              </w:rPr>
              <w:t>培训费</w:t>
            </w:r>
          </w:p>
        </w:tc>
        <w:tc>
          <w:tcPr>
            <w:tcW w:w="1545" w:type="dxa"/>
            <w:noWrap w:val="0"/>
            <w:vAlign w:val="top"/>
          </w:tcPr>
          <w:p>
            <w:p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1120</w:t>
            </w:r>
          </w:p>
        </w:tc>
        <w:tc>
          <w:tcPr>
            <w:tcW w:w="1470" w:type="dxa"/>
            <w:noWrap w:val="0"/>
            <w:vAlign w:val="top"/>
          </w:tcPr>
          <w:p>
            <w:p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816" w:type="dxa"/>
            <w:noWrap w:val="0"/>
            <w:vAlign w:val="top"/>
          </w:tcPr>
          <w:p>
            <w:pPr>
              <w:ind w:firstLine="560" w:firstLineChars="200"/>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1" w:type="dxa"/>
            <w:noWrap w:val="0"/>
            <w:vAlign w:val="top"/>
          </w:tcPr>
          <w:p>
            <w:pPr>
              <w:ind w:firstLine="700" w:firstLineChars="250"/>
              <w:rPr>
                <w:rFonts w:hint="eastAsia" w:ascii="仿宋" w:hAnsi="仿宋" w:eastAsia="仿宋" w:cs="仿宋"/>
                <w:sz w:val="28"/>
                <w:szCs w:val="28"/>
              </w:rPr>
            </w:pPr>
            <w:r>
              <w:rPr>
                <w:rFonts w:hint="eastAsia" w:ascii="仿宋" w:hAnsi="仿宋" w:eastAsia="仿宋" w:cs="仿宋"/>
                <w:sz w:val="28"/>
                <w:szCs w:val="28"/>
              </w:rPr>
              <w:t>合计</w:t>
            </w:r>
          </w:p>
        </w:tc>
        <w:tc>
          <w:tcPr>
            <w:tcW w:w="1545" w:type="dxa"/>
            <w:noWrap w:val="0"/>
            <w:vAlign w:val="top"/>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1120</w:t>
            </w:r>
          </w:p>
        </w:tc>
        <w:tc>
          <w:tcPr>
            <w:tcW w:w="1470" w:type="dxa"/>
            <w:noWrap w:val="0"/>
            <w:vAlign w:val="top"/>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816" w:type="dxa"/>
            <w:noWrap w:val="0"/>
            <w:vAlign w:val="top"/>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100%</w:t>
            </w:r>
          </w:p>
        </w:tc>
      </w:tr>
    </w:tbl>
    <w:p>
      <w:pPr>
        <w:snapToGrid w:val="0"/>
        <w:spacing w:line="520" w:lineRule="exact"/>
        <w:ind w:firstLine="0" w:firstLineChars="0"/>
        <w:rPr>
          <w:rFonts w:hint="eastAsia" w:ascii="仿宋_GB2312" w:hAnsi="仿宋" w:eastAsia="仿宋_GB2312"/>
          <w:sz w:val="32"/>
          <w:szCs w:val="32"/>
        </w:rPr>
      </w:pP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（4）其他对单位影响较大的支出情况。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（5）重点经济分类支出中存在的问题及改进措施。</w:t>
      </w:r>
    </w:p>
    <w:p>
      <w:pPr>
        <w:snapToGrid w:val="0"/>
        <w:spacing w:line="520" w:lineRule="exact"/>
        <w:ind w:firstLine="643" w:firstLineChars="200"/>
        <w:rPr>
          <w:rFonts w:hint="eastAsia" w:ascii="仿宋_GB2312" w:hAnsi="仿宋" w:eastAsia="仿宋_GB2312"/>
          <w:b/>
          <w:sz w:val="32"/>
          <w:szCs w:val="32"/>
        </w:rPr>
      </w:pPr>
      <w:r>
        <w:rPr>
          <w:rFonts w:hint="eastAsia" w:ascii="仿宋_GB2312" w:hAnsi="仿宋" w:eastAsia="仿宋_GB2312"/>
          <w:b/>
          <w:sz w:val="32"/>
          <w:szCs w:val="32"/>
        </w:rPr>
        <w:t>4.财政拨款收入、支出分析。</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根据报表项目分析财政拨款收入、支出情况，支出要按照基本支出和项目支出分析具体构成及特点。</w:t>
      </w:r>
    </w:p>
    <w:p>
      <w:pPr>
        <w:snapToGrid w:val="0"/>
        <w:spacing w:line="52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eastAsia="zh-CN"/>
        </w:rPr>
        <w:t>财</w:t>
      </w:r>
      <w:r>
        <w:rPr>
          <w:rFonts w:hint="eastAsia" w:ascii="仿宋_GB2312" w:hAnsi="仿宋" w:eastAsia="仿宋_GB2312"/>
          <w:sz w:val="32"/>
          <w:szCs w:val="32"/>
        </w:rPr>
        <w:t>政拨款</w:t>
      </w:r>
      <w:r>
        <w:rPr>
          <w:rFonts w:hint="eastAsia" w:ascii="仿宋_GB2312" w:hAnsi="仿宋" w:eastAsia="仿宋_GB2312"/>
          <w:sz w:val="32"/>
          <w:szCs w:val="32"/>
          <w:lang w:eastAsia="zh-CN"/>
        </w:rPr>
        <w:t>总收入</w:t>
      </w:r>
      <w:r>
        <w:rPr>
          <w:rFonts w:hint="eastAsia" w:ascii="仿宋" w:hAnsi="仿宋" w:eastAsia="仿宋" w:cs="仿宋"/>
          <w:sz w:val="28"/>
          <w:szCs w:val="28"/>
          <w:lang w:val="en-US" w:eastAsia="zh-CN"/>
        </w:rPr>
        <w:t>77,924,738.96</w:t>
      </w:r>
      <w:r>
        <w:rPr>
          <w:rFonts w:hint="eastAsia" w:ascii="仿宋_GB2312" w:hAnsi="仿宋" w:eastAsia="仿宋_GB2312"/>
          <w:sz w:val="32"/>
          <w:szCs w:val="32"/>
          <w:lang w:val="en-US" w:eastAsia="zh-CN"/>
        </w:rPr>
        <w:t>元，其中一般公共预算收入72,904,738.96元，政府性基金收入2,000,000.00元,其他收入3,020,000.00元。财政</w:t>
      </w:r>
      <w:r>
        <w:rPr>
          <w:rFonts w:hint="eastAsia" w:ascii="仿宋_GB2312" w:hAnsi="仿宋" w:eastAsia="仿宋_GB2312"/>
          <w:sz w:val="32"/>
          <w:szCs w:val="32"/>
        </w:rPr>
        <w:t>拨款</w:t>
      </w:r>
      <w:r>
        <w:rPr>
          <w:rFonts w:hint="eastAsia" w:ascii="仿宋_GB2312" w:hAnsi="仿宋" w:eastAsia="仿宋_GB2312"/>
          <w:sz w:val="32"/>
          <w:szCs w:val="32"/>
          <w:lang w:eastAsia="zh-CN"/>
        </w:rPr>
        <w:t>总支出</w:t>
      </w:r>
      <w:r>
        <w:rPr>
          <w:rFonts w:hint="eastAsia" w:ascii="仿宋" w:hAnsi="仿宋" w:eastAsia="仿宋" w:cs="仿宋"/>
          <w:sz w:val="28"/>
          <w:szCs w:val="28"/>
          <w:lang w:val="en-US" w:eastAsia="zh-CN"/>
        </w:rPr>
        <w:t>77,556,421.12</w:t>
      </w:r>
      <w:r>
        <w:rPr>
          <w:rFonts w:hint="eastAsia" w:ascii="仿宋_GB2312" w:hAnsi="仿宋" w:eastAsia="仿宋_GB2312"/>
          <w:sz w:val="32"/>
          <w:szCs w:val="32"/>
          <w:lang w:val="en-US" w:eastAsia="zh-CN"/>
        </w:rPr>
        <w:t>元，其中基本支出12,391,635.55元，项目支出</w:t>
      </w:r>
      <w:r>
        <w:rPr>
          <w:rFonts w:hint="default" w:ascii="仿宋" w:hAnsi="仿宋" w:eastAsia="仿宋" w:cs="仿宋"/>
          <w:sz w:val="28"/>
          <w:szCs w:val="28"/>
          <w:lang w:val="en-US" w:eastAsia="zh-CN"/>
        </w:rPr>
        <w:t>65,164,785.57</w:t>
      </w:r>
      <w:r>
        <w:rPr>
          <w:rFonts w:hint="eastAsia" w:ascii="仿宋_GB2312" w:hAnsi="仿宋" w:eastAsia="仿宋_GB2312"/>
          <w:sz w:val="32"/>
          <w:szCs w:val="32"/>
          <w:lang w:val="en-US" w:eastAsia="zh-CN"/>
        </w:rPr>
        <w:t>元.</w:t>
      </w:r>
    </w:p>
    <w:p>
      <w:pPr>
        <w:snapToGrid w:val="0"/>
        <w:spacing w:line="52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5.非财政拨款收入分析。</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根据报表项目分析非财政拨款收入情况，按照事业收入、经营收入和其他收入等分析具体构成和特点。</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本年度无</w:t>
      </w:r>
      <w:r>
        <w:rPr>
          <w:rFonts w:hint="eastAsia" w:ascii="仿宋_GB2312" w:hAnsi="仿宋" w:eastAsia="仿宋_GB2312"/>
          <w:sz w:val="32"/>
          <w:szCs w:val="32"/>
        </w:rPr>
        <w:t>非财政拨款收入</w:t>
      </w:r>
      <w:r>
        <w:rPr>
          <w:rFonts w:hint="eastAsia" w:ascii="仿宋_GB2312" w:hAnsi="仿宋" w:eastAsia="仿宋_GB2312"/>
          <w:sz w:val="32"/>
          <w:szCs w:val="32"/>
          <w:lang w:eastAsia="zh-CN"/>
        </w:rPr>
        <w:t>。</w:t>
      </w:r>
    </w:p>
    <w:p>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（三）年末结转和结余情况。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1．根据报表项目分财政拨款结转结余和非财政拨款结转结余分析年末结转结余总体情况。按照资金来源、资金性质分析，特别是项目经费结转和结余情况。</w:t>
      </w:r>
    </w:p>
    <w:p>
      <w:pPr>
        <w:snapToGrid w:val="0"/>
        <w:spacing w:line="52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lang w:eastAsia="zh-CN"/>
        </w:rPr>
        <w:t>年末结转资金</w:t>
      </w:r>
      <w:r>
        <w:rPr>
          <w:rFonts w:hint="eastAsia" w:ascii="仿宋_GB2312" w:hAnsi="仿宋" w:eastAsia="仿宋_GB2312"/>
          <w:sz w:val="32"/>
          <w:szCs w:val="32"/>
          <w:lang w:val="en-US" w:eastAsia="zh-CN"/>
        </w:rPr>
        <w:t>368,317.84元，其中财政拨款结转348,317.84元（</w:t>
      </w:r>
      <w:r>
        <w:rPr>
          <w:rFonts w:hint="eastAsia" w:ascii="仿宋_GB2312" w:hAnsi="仿宋" w:eastAsia="仿宋_GB2312"/>
          <w:sz w:val="32"/>
          <w:szCs w:val="32"/>
          <w:lang w:eastAsia="zh-CN"/>
        </w:rPr>
        <w:t>基本支出结转80,297.11元，项目支出结转268,020.73元</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w:t>
      </w:r>
    </w:p>
    <w:p>
      <w:pPr>
        <w:numPr>
          <w:ilvl w:val="0"/>
          <w:numId w:val="3"/>
        </w:num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消化结转和结余的对策。</w:t>
      </w:r>
    </w:p>
    <w:p>
      <w:pPr>
        <w:numPr>
          <w:ilvl w:val="0"/>
          <w:numId w:val="0"/>
        </w:numPr>
        <w:snapToGrid w:val="0"/>
        <w:spacing w:line="52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预计2023年将结转资金全部支付。</w:t>
      </w:r>
    </w:p>
    <w:bookmarkEnd w:id="1"/>
    <w:p>
      <w:pPr>
        <w:snapToGrid w:val="0"/>
        <w:spacing w:line="520" w:lineRule="exact"/>
        <w:ind w:firstLine="643" w:firstLineChars="200"/>
        <w:rPr>
          <w:rFonts w:hint="eastAsia" w:ascii="楷体_GB2312" w:hAnsi="仿宋" w:eastAsia="楷体_GB2312"/>
          <w:b/>
          <w:sz w:val="32"/>
          <w:szCs w:val="32"/>
        </w:rPr>
      </w:pPr>
      <w:bookmarkStart w:id="5" w:name="YS060103"/>
      <w:r>
        <w:rPr>
          <w:rFonts w:hint="eastAsia" w:ascii="楷体_GB2312" w:hAnsi="仿宋" w:eastAsia="楷体_GB2312"/>
          <w:b/>
          <w:sz w:val="32"/>
          <w:szCs w:val="32"/>
        </w:rPr>
        <w:t>（四）与预算支出相关的</w:t>
      </w:r>
      <w:bookmarkStart w:id="10" w:name="_GoBack"/>
      <w:bookmarkEnd w:id="10"/>
      <w:r>
        <w:rPr>
          <w:rFonts w:hint="eastAsia" w:ascii="楷体_GB2312" w:hAnsi="仿宋" w:eastAsia="楷体_GB2312"/>
          <w:b/>
          <w:sz w:val="32"/>
          <w:szCs w:val="32"/>
        </w:rPr>
        <w:t>其他指标分析。</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对资产、负债信息进行分析，主要分析与上年度对比情况，包括增减绝对值与幅度，增减变动主要原因。</w:t>
      </w:r>
    </w:p>
    <w:p>
      <w:pPr>
        <w:snapToGrid w:val="0"/>
        <w:spacing w:line="520" w:lineRule="exact"/>
        <w:ind w:firstLine="643" w:firstLineChars="200"/>
        <w:rPr>
          <w:rFonts w:ascii="楷体_GB2312" w:hAnsi="仿宋" w:eastAsia="楷体_GB2312"/>
          <w:b/>
          <w:sz w:val="32"/>
          <w:szCs w:val="32"/>
        </w:rPr>
      </w:pPr>
      <w:r>
        <w:rPr>
          <w:rFonts w:hint="eastAsia" w:ascii="楷体_GB2312" w:hAnsi="仿宋" w:eastAsia="楷体_GB2312"/>
          <w:b/>
          <w:sz w:val="32"/>
          <w:szCs w:val="32"/>
        </w:rPr>
        <w:t>（五）绩效目标完成情况。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1.概述项目绩效目标完成情况。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2.概述本单位整体支出绩效目标实现情况（如有）。</w:t>
      </w:r>
    </w:p>
    <w:p>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（六）当年预算执行及绩效管理中存在问题、原因及改进措施。</w:t>
      </w:r>
    </w:p>
    <w:bookmarkEnd w:id="5"/>
    <w:p>
      <w:pPr>
        <w:snapToGrid w:val="0"/>
        <w:spacing w:line="520" w:lineRule="exact"/>
        <w:ind w:firstLine="640" w:firstLineChars="200"/>
        <w:rPr>
          <w:rFonts w:hint="eastAsia" w:ascii="黑体" w:hAnsi="黑体" w:eastAsia="黑体"/>
          <w:sz w:val="32"/>
          <w:szCs w:val="32"/>
        </w:rPr>
      </w:pPr>
      <w:bookmarkStart w:id="6" w:name="YS060104"/>
      <w:r>
        <w:rPr>
          <w:rFonts w:hint="eastAsia" w:ascii="黑体" w:hAnsi="黑体" w:eastAsia="黑体"/>
          <w:sz w:val="32"/>
          <w:szCs w:val="32"/>
        </w:rPr>
        <w:t>三、本年度部门决算等财务工作开展情况</w:t>
      </w:r>
    </w:p>
    <w:bookmarkEnd w:id="6"/>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（一）本单位财务管理、绩效管理、决算组织、编报、审核情况。</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（二）本单位决算及绩效信息公开工作开展情况。</w:t>
      </w:r>
    </w:p>
    <w:p>
      <w:pPr>
        <w:snapToGrid w:val="0"/>
        <w:spacing w:line="580" w:lineRule="exact"/>
        <w:ind w:firstLine="640" w:firstLineChars="200"/>
        <w:rPr>
          <w:rFonts w:ascii="楷体_GB2312" w:hAnsi="仿宋" w:eastAsia="楷体_GB2312"/>
          <w:b/>
          <w:sz w:val="32"/>
          <w:szCs w:val="32"/>
        </w:rPr>
      </w:pPr>
      <w:r>
        <w:rPr>
          <w:rFonts w:hint="eastAsia" w:ascii="仿宋_GB2312" w:hAnsi="仿宋" w:eastAsia="仿宋_GB2312"/>
          <w:sz w:val="32"/>
          <w:szCs w:val="32"/>
        </w:rPr>
        <w:t>（三）</w:t>
      </w:r>
      <w:r>
        <w:rPr>
          <w:rFonts w:hint="eastAsia" w:ascii="楷体_GB2312" w:hAnsi="仿宋" w:eastAsia="楷体_GB2312"/>
          <w:sz w:val="32"/>
          <w:szCs w:val="32"/>
        </w:rPr>
        <w:t>对部门决算管理工作的意见和建议。</w:t>
      </w:r>
    </w:p>
    <w:p>
      <w:pPr>
        <w:ind w:firstLine="709"/>
        <w:rPr>
          <w:rFonts w:ascii="仿宋_GB2312" w:hAnsi="仿宋" w:eastAsia="仿宋_GB2312" w:cs="仿宋"/>
          <w:color w:val="000000"/>
          <w:sz w:val="32"/>
          <w:szCs w:val="32"/>
        </w:rPr>
      </w:pPr>
      <w:r>
        <w:rPr>
          <w:rFonts w:ascii="仿宋_GB2312" w:hAnsi="仿宋" w:eastAsia="仿宋_GB2312" w:cs="仿宋"/>
          <w:color w:val="000000"/>
          <w:sz w:val="32"/>
          <w:szCs w:val="32"/>
        </w:rPr>
        <w:t>1</w:t>
      </w:r>
      <w:r>
        <w:rPr>
          <w:rFonts w:hint="eastAsia" w:ascii="仿宋_GB2312" w:hAnsi="仿宋" w:eastAsia="仿宋_GB2312" w:cs="仿宋"/>
          <w:color w:val="000000"/>
          <w:sz w:val="32"/>
          <w:szCs w:val="32"/>
        </w:rPr>
        <w:t>.自行增加的审核公式和模板，请说明设置依据。</w:t>
      </w:r>
    </w:p>
    <w:p>
      <w:pPr>
        <w:ind w:firstLine="709"/>
        <w:rPr>
          <w:rFonts w:ascii="仿宋_GB2312" w:hAnsi="仿宋" w:eastAsia="仿宋_GB2312"/>
          <w:color w:val="000000"/>
          <w:sz w:val="32"/>
          <w:szCs w:val="32"/>
        </w:rPr>
      </w:pPr>
      <w:r>
        <w:rPr>
          <w:rFonts w:hint="eastAsia" w:ascii="仿宋_GB2312" w:hAnsi="仿宋" w:eastAsia="仿宋_GB2312" w:cs="仿宋"/>
          <w:color w:val="000000"/>
          <w:sz w:val="32"/>
          <w:szCs w:val="32"/>
        </w:rPr>
        <w:t>2.对</w:t>
      </w:r>
      <w:r>
        <w:rPr>
          <w:rFonts w:ascii="仿宋_GB2312" w:hAnsi="仿宋" w:eastAsia="仿宋_GB2312" w:cs="仿宋"/>
          <w:color w:val="000000"/>
          <w:sz w:val="32"/>
          <w:szCs w:val="32"/>
        </w:rPr>
        <w:t>部门决算</w:t>
      </w:r>
      <w:r>
        <w:rPr>
          <w:rFonts w:hint="eastAsia" w:ascii="仿宋_GB2312" w:hAnsi="仿宋" w:eastAsia="仿宋_GB2312" w:cs="仿宋"/>
          <w:color w:val="000000"/>
          <w:sz w:val="32"/>
          <w:szCs w:val="32"/>
        </w:rPr>
        <w:t>报表修订</w:t>
      </w:r>
      <w:r>
        <w:rPr>
          <w:rFonts w:ascii="仿宋_GB2312" w:hAnsi="仿宋" w:eastAsia="仿宋_GB2312" w:cs="仿宋"/>
          <w:color w:val="000000"/>
          <w:sz w:val="32"/>
          <w:szCs w:val="32"/>
        </w:rPr>
        <w:t>设计</w:t>
      </w:r>
      <w:r>
        <w:rPr>
          <w:rFonts w:hint="eastAsia" w:ascii="仿宋_GB2312" w:hAnsi="仿宋" w:eastAsia="仿宋_GB2312" w:cs="仿宋"/>
          <w:color w:val="000000"/>
          <w:sz w:val="32"/>
          <w:szCs w:val="32"/>
        </w:rPr>
        <w:t>的</w:t>
      </w:r>
      <w:r>
        <w:rPr>
          <w:rFonts w:ascii="仿宋_GB2312" w:hAnsi="仿宋" w:eastAsia="仿宋_GB2312" w:cs="仿宋"/>
          <w:color w:val="000000"/>
          <w:sz w:val="32"/>
          <w:szCs w:val="32"/>
        </w:rPr>
        <w:t>意见和建议，包括</w:t>
      </w:r>
      <w:r>
        <w:rPr>
          <w:rFonts w:hint="eastAsia" w:ascii="仿宋_GB2312" w:hAnsi="仿宋" w:eastAsia="仿宋_GB2312" w:cs="仿宋"/>
          <w:color w:val="000000"/>
          <w:sz w:val="32"/>
          <w:szCs w:val="32"/>
        </w:rPr>
        <w:t>表样</w:t>
      </w:r>
      <w:r>
        <w:rPr>
          <w:rFonts w:ascii="仿宋_GB2312" w:hAnsi="仿宋" w:eastAsia="仿宋_GB2312" w:cs="仿宋"/>
          <w:color w:val="000000"/>
          <w:sz w:val="32"/>
          <w:szCs w:val="32"/>
        </w:rPr>
        <w:t>、</w:t>
      </w:r>
      <w:r>
        <w:rPr>
          <w:rFonts w:hint="eastAsia" w:ascii="仿宋_GB2312" w:hAnsi="仿宋" w:eastAsia="仿宋_GB2312" w:cs="仿宋"/>
          <w:color w:val="000000"/>
          <w:sz w:val="32"/>
          <w:szCs w:val="32"/>
        </w:rPr>
        <w:t>指标设置、软件</w:t>
      </w:r>
      <w:r>
        <w:rPr>
          <w:rFonts w:ascii="仿宋_GB2312" w:hAnsi="仿宋" w:eastAsia="仿宋_GB2312" w:cs="仿宋"/>
          <w:color w:val="000000"/>
          <w:sz w:val="32"/>
          <w:szCs w:val="32"/>
        </w:rPr>
        <w:t>、</w:t>
      </w:r>
      <w:r>
        <w:rPr>
          <w:rFonts w:hint="eastAsia" w:ascii="仿宋_GB2312" w:hAnsi="仿宋" w:eastAsia="仿宋_GB2312" w:cs="仿宋"/>
          <w:color w:val="000000"/>
          <w:sz w:val="32"/>
          <w:szCs w:val="32"/>
        </w:rPr>
        <w:t>审核公式、模板和</w:t>
      </w:r>
      <w:r>
        <w:rPr>
          <w:rFonts w:ascii="仿宋_GB2312" w:hAnsi="仿宋" w:eastAsia="仿宋_GB2312" w:cs="仿宋"/>
          <w:color w:val="000000"/>
          <w:sz w:val="32"/>
          <w:szCs w:val="32"/>
        </w:rPr>
        <w:t>编</w:t>
      </w:r>
      <w:r>
        <w:rPr>
          <w:rFonts w:hint="eastAsia" w:ascii="仿宋_GB2312" w:hAnsi="仿宋" w:eastAsia="仿宋_GB2312" w:cs="仿宋"/>
          <w:color w:val="000000"/>
          <w:sz w:val="32"/>
          <w:szCs w:val="32"/>
        </w:rPr>
        <w:t>审</w:t>
      </w:r>
      <w:r>
        <w:rPr>
          <w:rFonts w:ascii="仿宋_GB2312" w:hAnsi="仿宋" w:eastAsia="仿宋_GB2312" w:cs="仿宋"/>
          <w:color w:val="000000"/>
          <w:sz w:val="32"/>
          <w:szCs w:val="32"/>
        </w:rPr>
        <w:t>问答</w:t>
      </w:r>
      <w:r>
        <w:rPr>
          <w:rFonts w:hint="eastAsia" w:ascii="仿宋_GB2312" w:hAnsi="仿宋" w:eastAsia="仿宋_GB2312" w:cs="仿宋"/>
          <w:color w:val="000000"/>
          <w:sz w:val="32"/>
          <w:szCs w:val="32"/>
        </w:rPr>
        <w:t>等，请列出并说明修改意见。</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cs="仿宋"/>
          <w:color w:val="000000"/>
          <w:sz w:val="32"/>
          <w:szCs w:val="32"/>
        </w:rPr>
        <w:t>3.对部门决算其他管理</w:t>
      </w:r>
      <w:r>
        <w:rPr>
          <w:rFonts w:ascii="仿宋_GB2312" w:hAnsi="仿宋" w:eastAsia="仿宋_GB2312" w:cs="仿宋"/>
          <w:color w:val="000000"/>
          <w:sz w:val="32"/>
          <w:szCs w:val="32"/>
        </w:rPr>
        <w:t>工作</w:t>
      </w:r>
      <w:r>
        <w:rPr>
          <w:rFonts w:hint="eastAsia" w:ascii="仿宋_GB2312" w:hAnsi="仿宋" w:eastAsia="仿宋_GB2312" w:cs="仿宋"/>
          <w:color w:val="000000"/>
          <w:sz w:val="32"/>
          <w:szCs w:val="32"/>
        </w:rPr>
        <w:t>的建议。例如对加强部门决算数据分析利用工作、部门决算信息化建设等建议。</w:t>
      </w:r>
    </w:p>
    <w:p>
      <w:pPr>
        <w:snapToGrid w:val="0"/>
        <w:spacing w:line="520" w:lineRule="exact"/>
        <w:ind w:firstLine="640" w:firstLineChars="200"/>
        <w:rPr>
          <w:rFonts w:hint="eastAsia" w:ascii="仿宋_GB2312" w:hAnsi="仿宋" w:eastAsia="仿宋_GB2312"/>
          <w:sz w:val="32"/>
          <w:szCs w:val="32"/>
        </w:rPr>
      </w:pP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注：收入支出预算执行情况分析可参考部门决算分析评价表（见软件查询模板）及行政事业单位财务分析指标（附后）。</w:t>
      </w:r>
    </w:p>
    <w:p>
      <w:pPr>
        <w:snapToGrid w:val="0"/>
        <w:rPr>
          <w:rFonts w:hint="eastAsia" w:ascii="仿宋_GB2312" w:hAnsi="仿宋" w:eastAsia="仿宋_GB2312"/>
          <w:sz w:val="32"/>
          <w:szCs w:val="32"/>
        </w:rPr>
      </w:pPr>
      <w:r>
        <w:rPr>
          <w:rFonts w:ascii="仿宋_GB2312" w:hAnsi="仿宋" w:eastAsia="仿宋_GB2312"/>
          <w:sz w:val="32"/>
          <w:szCs w:val="32"/>
        </w:rPr>
        <w:br w:type="page"/>
      </w:r>
      <w:r>
        <w:rPr>
          <w:rFonts w:hint="eastAsia" w:ascii="仿宋_GB2312" w:hAnsi="仿宋" w:eastAsia="仿宋_GB2312"/>
          <w:sz w:val="32"/>
          <w:szCs w:val="32"/>
        </w:rPr>
        <w:t>附：</w:t>
      </w:r>
    </w:p>
    <w:p>
      <w:pPr>
        <w:snapToGrid w:val="0"/>
        <w:ind w:firstLine="640" w:firstLineChars="200"/>
        <w:jc w:val="center"/>
        <w:rPr>
          <w:rFonts w:hint="eastAsia" w:ascii="华文中宋" w:hAnsi="华文中宋" w:eastAsia="华文中宋"/>
          <w:sz w:val="32"/>
          <w:szCs w:val="32"/>
        </w:rPr>
      </w:pPr>
      <w:bookmarkStart w:id="7" w:name="YS060200"/>
    </w:p>
    <w:p>
      <w:pPr>
        <w:snapToGrid w:val="0"/>
        <w:ind w:firstLine="640" w:firstLineChars="200"/>
        <w:jc w:val="center"/>
        <w:rPr>
          <w:rFonts w:hint="eastAsia" w:ascii="华文中宋" w:hAnsi="华文中宋" w:eastAsia="华文中宋"/>
          <w:sz w:val="32"/>
          <w:szCs w:val="32"/>
        </w:rPr>
      </w:pPr>
      <w:r>
        <w:rPr>
          <w:rFonts w:hint="eastAsia" w:ascii="华文中宋" w:hAnsi="华文中宋" w:eastAsia="华文中宋"/>
          <w:sz w:val="32"/>
          <w:szCs w:val="32"/>
        </w:rPr>
        <w:t>行政事业单位财务分析指标</w:t>
      </w:r>
    </w:p>
    <w:bookmarkEnd w:id="7"/>
    <w:p>
      <w:pPr>
        <w:snapToGrid w:val="0"/>
        <w:ind w:firstLine="640" w:firstLineChars="200"/>
        <w:rPr>
          <w:rFonts w:hint="eastAsia" w:ascii="仿宋_GB2312" w:hAnsi="仿宋" w:eastAsia="仿宋_GB2312"/>
          <w:sz w:val="32"/>
          <w:szCs w:val="32"/>
        </w:rPr>
      </w:pPr>
    </w:p>
    <w:p>
      <w:pPr>
        <w:snapToGrid w:val="0"/>
        <w:ind w:firstLine="640" w:firstLineChars="200"/>
        <w:rPr>
          <w:rFonts w:hint="eastAsia" w:ascii="黑体" w:hAnsi="黑体" w:eastAsia="黑体"/>
          <w:sz w:val="32"/>
          <w:szCs w:val="32"/>
        </w:rPr>
      </w:pPr>
      <w:bookmarkStart w:id="8" w:name="YS060201"/>
      <w:r>
        <w:rPr>
          <w:rFonts w:hint="eastAsia" w:ascii="黑体" w:hAnsi="黑体" w:eastAsia="黑体"/>
          <w:sz w:val="32"/>
          <w:szCs w:val="32"/>
        </w:rPr>
        <w:t>一、行政单位财务分析指标</w:t>
      </w:r>
    </w:p>
    <w:bookmarkEnd w:id="8"/>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1.支出增长率，衡量行政单位支出的增长水平。计算公式为：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支出增长率＝(本期支出总额÷上期支出总额-1)×100%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2.当年预算支出完成率，衡量行政单位当年支出总预算及分项预算完成的程度。计算公式为：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当年预算支出完成率＝年终执行数÷调整预算数×100%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年终执行数不含上年结转和结余支出数。</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3.人均开支，衡量行政单位人均年消耗经费水平。计算公式为：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人均开支＝本期支出数÷本期平均在职人员数×100%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4.项目支出占总支出的比率，衡量行政单位的支出结构。计算公式为：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项目支出比率=本期项目支出数÷本期支出总数×100%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5.人员支出、公用支出占总支出的比率，衡量行政单位的支出结构。计算公式为：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人员支出比率=本期人员支出数÷本期支出总数×100%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公用支出比率=本期公用支出数÷本期支出总数×100%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6.人均办公使用面积，衡量行政单位办公用房配备情况。计算公式为：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人均办公使用面积=本期末单位办公用房使用面积÷本期末在职人员数</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7.人车比例，衡量行政单位公务用车配备情况。计算公式为：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人车比例=本期末在职人员数÷本期末公务用车实有数:1</w:t>
      </w:r>
    </w:p>
    <w:p>
      <w:pPr>
        <w:snapToGrid w:val="0"/>
        <w:ind w:firstLine="640" w:firstLineChars="200"/>
        <w:rPr>
          <w:rFonts w:hint="eastAsia" w:ascii="仿宋_GB2312" w:hAnsi="仿宋" w:eastAsia="仿宋_GB2312"/>
          <w:sz w:val="32"/>
          <w:szCs w:val="32"/>
        </w:rPr>
      </w:pPr>
    </w:p>
    <w:p>
      <w:pPr>
        <w:snapToGrid w:val="0"/>
        <w:ind w:firstLine="640" w:firstLineChars="200"/>
        <w:rPr>
          <w:rFonts w:hint="eastAsia" w:ascii="黑体" w:hAnsi="黑体" w:eastAsia="黑体"/>
          <w:sz w:val="32"/>
          <w:szCs w:val="32"/>
        </w:rPr>
      </w:pPr>
      <w:bookmarkStart w:id="9" w:name="YS060202"/>
      <w:r>
        <w:rPr>
          <w:rFonts w:hint="eastAsia" w:ascii="黑体" w:hAnsi="黑体" w:eastAsia="黑体"/>
          <w:sz w:val="32"/>
          <w:szCs w:val="32"/>
        </w:rPr>
        <w:t>二、事业单位财务分析指标</w:t>
      </w:r>
    </w:p>
    <w:bookmarkEnd w:id="9"/>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1.预算收入和支出完成率，衡量事业单位收入和支出总预算及分项预算完成的程度。计算公式为：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预算收入完成率＝年终执行数÷调整预算数×100%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年终执行数不含上年结转和结余收入数</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预算支出完成率＝年终执行数÷调整预算数×100%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年终执行数不含上年结转和结余支出数</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2.人员支出、公用支出占事业支出的比率，衡量事业单位事业支出结构。计算公式为：</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人员支出比率＝人员支出÷事业支出×100%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公用支出比率＝公用支出÷事业支出×100%</w:t>
      </w: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3.人均基本支出，衡量事业单位按照实际在编人数平均的基本支出水平。计算公式为：</w:t>
      </w:r>
    </w:p>
    <w:p>
      <w:pPr>
        <w:snapToGrid w:val="0"/>
        <w:ind w:firstLine="640" w:firstLineChars="200"/>
        <w:rPr>
          <w:rFonts w:hint="eastAsia" w:ascii="仿宋_GB2312" w:hAnsi="仿宋" w:eastAsia="仿宋_GB2312"/>
          <w:b/>
          <w:sz w:val="32"/>
          <w:szCs w:val="32"/>
        </w:rPr>
      </w:pPr>
      <w:r>
        <w:rPr>
          <w:rFonts w:hint="eastAsia" w:ascii="仿宋_GB2312" w:hAnsi="仿宋" w:eastAsia="仿宋_GB2312"/>
          <w:sz w:val="32"/>
          <w:szCs w:val="32"/>
        </w:rPr>
        <w:t>人均基本支出＝（基本支出-离退休人员支出）÷实际在编人数</w:t>
      </w:r>
    </w:p>
    <w:p>
      <w:pPr>
        <w:snapToGrid w:val="0"/>
        <w:ind w:firstLine="640" w:firstLineChars="200"/>
        <w:rPr>
          <w:rFonts w:hint="eastAsia" w:ascii="仿宋_GB2312" w:hAnsi="仿宋" w:eastAsia="仿宋_GB2312"/>
          <w:sz w:val="32"/>
          <w:szCs w:val="32"/>
        </w:rPr>
      </w:pPr>
    </w:p>
    <w:p>
      <w:pPr>
        <w:snapToGrid w:val="0"/>
        <w:ind w:firstLine="640" w:firstLineChars="200"/>
        <w:rPr>
          <w:rFonts w:hint="eastAsia" w:ascii="仿宋_GB2312" w:hAnsi="仿宋" w:eastAsia="仿宋_GB2312"/>
          <w:sz w:val="32"/>
          <w:szCs w:val="32"/>
        </w:rPr>
      </w:pPr>
      <w:r>
        <w:rPr>
          <w:rFonts w:hint="eastAsia" w:ascii="仿宋_GB2312" w:hAnsi="仿宋" w:eastAsia="仿宋_GB2312"/>
          <w:sz w:val="32"/>
          <w:szCs w:val="32"/>
        </w:rPr>
        <w:t>此外，行业事业单位还可根据相关财务制度规定和分析需要增加相关分析指标，如：</w:t>
      </w:r>
    </w:p>
    <w:p>
      <w:pPr>
        <w:ind w:firstLine="707" w:firstLineChars="221"/>
        <w:rPr>
          <w:rFonts w:hint="eastAsia" w:ascii="仿宋_GB2312" w:hAnsi="仿宋" w:eastAsia="仿宋_GB2312"/>
          <w:sz w:val="32"/>
          <w:szCs w:val="32"/>
        </w:rPr>
      </w:pPr>
      <w:r>
        <w:rPr>
          <w:rFonts w:hint="eastAsia" w:ascii="仿宋_GB2312" w:hAnsi="仿宋" w:eastAsia="仿宋_GB2312"/>
          <w:sz w:val="32"/>
          <w:szCs w:val="32"/>
        </w:rPr>
        <w:t>1.财政拨款依存度, 衡量部门（单位）对财政拨款的依赖程度。</w:t>
      </w:r>
    </w:p>
    <w:p>
      <w:pPr>
        <w:widowControl/>
        <w:ind w:firstLine="640" w:firstLineChars="200"/>
        <w:textAlignment w:val="center"/>
        <w:rPr>
          <w:rFonts w:hint="eastAsia" w:ascii="仿宋_GB2312" w:hAnsi="仿宋" w:eastAsia="仿宋_GB2312"/>
          <w:sz w:val="32"/>
          <w:szCs w:val="32"/>
        </w:rPr>
      </w:pPr>
      <w:r>
        <w:rPr>
          <w:rFonts w:hint="eastAsia" w:ascii="仿宋_GB2312" w:hAnsi="仿宋" w:eastAsia="仿宋_GB2312"/>
          <w:sz w:val="32"/>
          <w:szCs w:val="32"/>
        </w:rPr>
        <w:t>财政拨款依存度＝财政拨款收入÷收入总额×100%</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sz w:val="24"/>
        <w:szCs w:val="24"/>
        <w:lang w:val="zh-CN"/>
      </w:rPr>
      <w:t>2</w:t>
    </w:r>
    <w:r>
      <w:rPr>
        <w:rFonts w:ascii="Arial" w:hAnsi="Arial" w:cs="Arial"/>
        <w:sz w:val="24"/>
        <w:szCs w:val="24"/>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02FE97"/>
    <w:multiLevelType w:val="singleLevel"/>
    <w:tmpl w:val="C802FE97"/>
    <w:lvl w:ilvl="0" w:tentative="0">
      <w:start w:val="2"/>
      <w:numFmt w:val="decimal"/>
      <w:suff w:val="nothing"/>
      <w:lvlText w:val="（%1）"/>
      <w:lvlJc w:val="left"/>
    </w:lvl>
  </w:abstractNum>
  <w:abstractNum w:abstractNumId="1">
    <w:nsid w:val="2FB61938"/>
    <w:multiLevelType w:val="singleLevel"/>
    <w:tmpl w:val="2FB61938"/>
    <w:lvl w:ilvl="0" w:tentative="0">
      <w:start w:val="3"/>
      <w:numFmt w:val="decimal"/>
      <w:suff w:val="nothing"/>
      <w:lvlText w:val="%1．"/>
      <w:lvlJc w:val="left"/>
    </w:lvl>
  </w:abstractNum>
  <w:abstractNum w:abstractNumId="2">
    <w:nsid w:val="6392500E"/>
    <w:multiLevelType w:val="singleLevel"/>
    <w:tmpl w:val="6392500E"/>
    <w:lvl w:ilvl="0" w:tentative="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yZWRkMTI1MGViNmViYzBlOGMzNWQ0MDhiZjQ3ZjUifQ=="/>
  </w:docVars>
  <w:rsids>
    <w:rsidRoot w:val="360D7A4C"/>
    <w:rsid w:val="0AB614DF"/>
    <w:rsid w:val="167223E9"/>
    <w:rsid w:val="2E4B495C"/>
    <w:rsid w:val="360D7A4C"/>
    <w:rsid w:val="75974927"/>
    <w:rsid w:val="7DB76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4271</Words>
  <Characters>4993</Characters>
  <Lines>0</Lines>
  <Paragraphs>0</Paragraphs>
  <TotalTime>3</TotalTime>
  <ScaleCrop>false</ScaleCrop>
  <LinksUpToDate>false</LinksUpToDate>
  <CharactersWithSpaces>5000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2023-02-13T03:22:00Z</dcterms:created>
  <dc:creator>zhujian001</dc:creator>
  <cp:lastModifiedBy>zhujian001</cp:lastModifiedBy>
  <dcterms:modified xsi:type="dcterms:W3CDTF">2023-02-13T10:46:57Z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2510387FAFA74544A8080FF3E8E24D93</vt:lpwstr>
  </property>
</Properties>
</file>