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color w:val="FF0000"/>
          <w:sz w:val="44"/>
          <w:szCs w:val="44"/>
          <w:lang w:val="en-US" w:eastAsia="zh-CN"/>
        </w:rPr>
      </w:pPr>
      <w:r>
        <w:rPr>
          <w:rFonts w:hint="eastAsia" w:ascii="方正小标宋简体" w:hAnsi="方正小标宋简体" w:eastAsia="方正小标宋简体" w:cs="方正小标宋简体"/>
          <w:color w:val="FF0000"/>
          <w:sz w:val="44"/>
          <w:szCs w:val="44"/>
          <w:lang w:val="en-US" w:eastAsia="zh-CN"/>
        </w:rPr>
        <w:t>乌中旗人力资源和社会保障局</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color w:val="FF0000"/>
          <w:sz w:val="44"/>
          <w:szCs w:val="44"/>
          <w:lang w:val="en-US" w:eastAsia="zh-CN"/>
        </w:rPr>
      </w:pPr>
      <w:r>
        <w:rPr>
          <w:rFonts w:hint="eastAsia" w:ascii="方正小标宋简体" w:hAnsi="方正小标宋简体" w:eastAsia="方正小标宋简体" w:cs="方正小标宋简体"/>
          <w:color w:val="FF0000"/>
          <w:sz w:val="44"/>
          <w:szCs w:val="44"/>
          <w:lang w:val="en-US" w:eastAsia="zh-CN"/>
        </w:rPr>
        <w:t>“手拉手”工作动态</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_GB2312" w:hAnsi="仿宋_GB2312" w:eastAsia="仿宋_GB2312" w:cs="仿宋_GB2312"/>
          <w:b/>
          <w:bCs/>
          <w:color w:val="000000" w:themeColor="text1"/>
          <w:sz w:val="28"/>
          <w:szCs w:val="28"/>
          <w:lang w:val="en-US" w:eastAsia="zh-CN"/>
          <w14:textFill>
            <w14:solidFill>
              <w14:schemeClr w14:val="tx1"/>
            </w14:solidFill>
          </w14:textFill>
        </w:rPr>
      </w:pPr>
      <w:r>
        <w:rPr>
          <w:b/>
          <w:bCs/>
          <w:sz w:val="28"/>
        </w:rP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353060</wp:posOffset>
                </wp:positionV>
                <wp:extent cx="5400040" cy="22225"/>
                <wp:effectExtent l="0" t="13970" r="10160" b="20955"/>
                <wp:wrapNone/>
                <wp:docPr id="3" name="直接连接符 3"/>
                <wp:cNvGraphicFramePr/>
                <a:graphic xmlns:a="http://schemas.openxmlformats.org/drawingml/2006/main">
                  <a:graphicData uri="http://schemas.microsoft.com/office/word/2010/wordprocessingShape">
                    <wps:wsp>
                      <wps:cNvCnPr/>
                      <wps:spPr>
                        <a:xfrm flipV="1">
                          <a:off x="1702435" y="3439795"/>
                          <a:ext cx="5400040" cy="22225"/>
                        </a:xfrm>
                        <a:prstGeom prst="line">
                          <a:avLst/>
                        </a:prstGeom>
                        <a:noFill/>
                        <a:ln w="28575" cap="flat" cmpd="sng" algn="ctr">
                          <a:solidFill>
                            <a:srgbClr val="FF0000"/>
                          </a:solidFill>
                          <a:prstDash val="solid"/>
                        </a:ln>
                        <a:effectLst/>
                      </wps:spPr>
                      <wps:bodyPr/>
                    </wps:wsp>
                  </a:graphicData>
                </a:graphic>
              </wp:anchor>
            </w:drawing>
          </mc:Choice>
          <mc:Fallback>
            <w:pict>
              <v:line id="_x0000_s1026" o:spid="_x0000_s1026" o:spt="20" style="position:absolute;left:0pt;flip:y;margin-left:-4.95pt;margin-top:27.8pt;height:1.75pt;width:425.2pt;z-index:251659264;mso-width-relative:page;mso-height-relative:page;" filled="f" stroked="t" coordsize="21600,21600" o:gfxdata="UEsDBAoAAAAAAIdO4kAAAAAAAAAAAAAAAAAEAAAAZHJzL1BLAwQUAAAACACHTuJAdVEUGdoAAAAI&#10;AQAADwAAAGRycy9kb3ducmV2LnhtbE2PS0/DMBCE70j8B2uRuLV2EAlJiNMDKi8VCVFA4ujGSxI1&#10;Xkex+4Bfz3KC4+yMZr6tFkc3iD1OofekIZkrEEiNtz21Gt5eb2c5iBANWTN4Qg1fGGBRn55UprT+&#10;QC+4X8dWcAmF0mjoYhxLKUPToTNh7kck9j795ExkObXSTubA5W6QF0pl0pmeeKEzI9502GzXO6dh&#10;+fC+Wt5/t9Zvs6dnl9595I9XXuvzs0Rdg4h4jH9h+MVndKiZaeN3ZIMYNMyKgpMa0jQDwX5+qVIQ&#10;Gz4UCci6kv8fqH8AUEsDBBQAAAAIAIdO4kA/cge/+QEAAMMDAAAOAAAAZHJzL2Uyb0RvYy54bWyt&#10;U71u2zAQ3gv0HQjutRT/1IlgOUMMdylaA22z0xQpEeAfeIxlv0RfoEC3durYPW/T9DFypNQgTZcM&#10;1UDckcfv7vv4aXV5NJocRADlbE3PJiUlwnLXKNvW9NPH7atzSiAy2zDtrKjpSQC9XL98sep9Jaau&#10;c7oRgSCIhar3Ne1i9FVRAO+EYTBxXlg8lC4YFjENbdEE1iO60cW0LF8XvQuND44LANzdDId0RAzP&#10;AXRSKi42jt8YYeOAGoRmESlBpzzQdZ5WSsHjeylBRKJrikxjXrEJxvu0FusVq9rAfKf4OAJ7zghP&#10;OBmmLDZ9gNqwyMhNUP9AGcWDAyfjhDtTDESyIsjirHyizYeOeZG5oNTgH0SH/wfL3x12gaimpjNK&#10;LDP44Hdffv76/O337Vdc7358J7MkUu+hwtoruwtjBn4XEuOjDIZIrfw1uilrgKzIEZNlOZ3PFpSc&#10;EHw+u1heLAa5xTESjgWLeVmWc3wJjhVT/PJ5MUAmaB8gvhHOkBTUVCub1GAVO7yFiGNg6Z+StG3d&#10;VmmdX1Rb0iPm+WKJ/TlDm0q0B4bGI1WwLSVMt+h/HkOGBKdVk64nIAjt/koHcmDomu0Wp8xGwXZ/&#10;laXeGwbdUJePEkEs0zbBiOy/cdQk4CBZivauOWUli5Th2+Zrow+TeR7nGD/+99b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VEUGdoAAAAIAQAADwAAAAAAAAABACAAAAAiAAAAZHJzL2Rvd25yZXYu&#10;eG1sUEsBAhQAFAAAAAgAh07iQD9yB7/5AQAAwwMAAA4AAAAAAAAAAQAgAAAAKQEAAGRycy9lMm9E&#10;b2MueG1sUEsFBgAAAAAGAAYAWQEAAJQFAAAAAA==&#10;">
                <v:fill on="f" focussize="0,0"/>
                <v:stroke weight="2.25pt" color="#FF0000" joinstyle="round"/>
                <v:imagedata o:title=""/>
                <o:lock v:ext="edit" aspectratio="f"/>
              </v:line>
            </w:pict>
          </mc:Fallback>
        </mc:AlternateConten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2023第（17）期</w:t>
      </w:r>
    </w:p>
    <w:p>
      <w:pPr>
        <w:keepNext w:val="0"/>
        <w:keepLines w:val="0"/>
        <w:pageBreakBefore w:val="0"/>
        <w:widowControl w:val="0"/>
        <w:kinsoku/>
        <w:wordWrap/>
        <w:overflowPunct/>
        <w:topLinePunct w:val="0"/>
        <w:autoSpaceDE/>
        <w:autoSpaceDN/>
        <w:bidi w:val="0"/>
        <w:adjustRightInd/>
        <w:snapToGrid/>
        <w:spacing w:after="376" w:afterLines="120" w:afterAutospacing="0" w:line="480" w:lineRule="auto"/>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乌中人力资源和社会保障局                    2023年5月26日</w:t>
      </w:r>
    </w:p>
    <w:p>
      <w:pPr>
        <w:spacing w:beforeAutospacing="0"/>
        <w:jc w:val="center"/>
        <w:rPr>
          <w:rFonts w:hint="eastAsia" w:ascii="宋体" w:hAnsi="宋体" w:eastAsia="宋体" w:cs="宋体"/>
          <w:color w:val="000000" w:themeColor="text1"/>
          <w:sz w:val="44"/>
          <w:szCs w:val="44"/>
          <w:highlight w:val="none"/>
          <w:lang w:val="en-US" w:eastAsia="zh-CN"/>
          <w14:textFill>
            <w14:solidFill>
              <w14:schemeClr w14:val="tx1"/>
            </w14:solidFill>
          </w14:textFill>
        </w:rPr>
      </w:pPr>
      <w:r>
        <w:rPr>
          <w:rFonts w:hint="eastAsia" w:ascii="宋体" w:hAnsi="宋体" w:eastAsia="宋体" w:cs="宋体"/>
          <w:color w:val="000000" w:themeColor="text1"/>
          <w:sz w:val="44"/>
          <w:szCs w:val="44"/>
          <w:highlight w:val="none"/>
          <w:lang w:val="en-US" w:eastAsia="zh-CN"/>
          <w14:textFill>
            <w14:solidFill>
              <w14:schemeClr w14:val="tx1"/>
            </w14:solidFill>
          </w14:textFill>
        </w:rPr>
        <w:t>乌中旗人社局开展“手拉手”专项检查</w:t>
      </w:r>
    </w:p>
    <w:p>
      <w:pPr>
        <w:spacing w:beforeAutospacing="0"/>
        <w:jc w:val="center"/>
        <w:rPr>
          <w:rFonts w:hint="eastAsia" w:ascii="宋体" w:hAnsi="宋体" w:eastAsia="宋体" w:cs="宋体"/>
          <w:color w:val="000000" w:themeColor="text1"/>
          <w:sz w:val="44"/>
          <w:szCs w:val="44"/>
          <w:highlight w:val="none"/>
          <w:lang w:val="en-US" w:eastAsia="zh-CN"/>
          <w14:textFill>
            <w14:solidFill>
              <w14:schemeClr w14:val="tx1"/>
            </w14:solidFill>
          </w14:textFill>
        </w:rPr>
      </w:pPr>
      <w:r>
        <w:rPr>
          <w:rFonts w:hint="eastAsia" w:ascii="宋体" w:hAnsi="宋体" w:eastAsia="宋体" w:cs="宋体"/>
          <w:color w:val="000000" w:themeColor="text1"/>
          <w:sz w:val="44"/>
          <w:szCs w:val="44"/>
          <w:highlight w:val="none"/>
          <w:lang w:val="en-US" w:eastAsia="zh-CN"/>
          <w14:textFill>
            <w14:solidFill>
              <w14:schemeClr w14:val="tx1"/>
            </w14:solidFill>
          </w14:textFill>
        </w:rPr>
        <w:t>企业劳动用工</w:t>
      </w:r>
    </w:p>
    <w:p>
      <w:pPr>
        <w:pStyle w:val="2"/>
        <w:spacing w:after="315" w:afterLines="100" w:afterAutospacing="0"/>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240" w:lineRule="auto"/>
        <w:ind w:left="0" w:leftChars="0" w:right="0" w:rightChars="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0" locked="0" layoutInCell="1" allowOverlap="1">
            <wp:simplePos x="0" y="0"/>
            <wp:positionH relativeFrom="column">
              <wp:posOffset>256540</wp:posOffset>
            </wp:positionH>
            <wp:positionV relativeFrom="paragraph">
              <wp:posOffset>1981200</wp:posOffset>
            </wp:positionV>
            <wp:extent cx="4570095" cy="3084195"/>
            <wp:effectExtent l="0" t="0" r="1905" b="1905"/>
            <wp:wrapTopAndBottom/>
            <wp:docPr id="1" name="图片 1"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ebwxgetmsgimg"/>
                    <pic:cNvPicPr>
                      <a:picLocks noChangeAspect="1"/>
                    </pic:cNvPicPr>
                  </pic:nvPicPr>
                  <pic:blipFill>
                    <a:blip r:embed="rId4"/>
                    <a:stretch>
                      <a:fillRect/>
                    </a:stretch>
                  </pic:blipFill>
                  <pic:spPr>
                    <a:xfrm>
                      <a:off x="0" y="0"/>
                      <a:ext cx="4570095" cy="3084195"/>
                    </a:xfrm>
                    <a:prstGeom prst="rect">
                      <a:avLst/>
                    </a:prstGeom>
                  </pic:spPr>
                </pic:pic>
              </a:graphicData>
            </a:graphic>
          </wp:anchor>
        </w:drawing>
      </w:r>
      <w:r>
        <w:rPr>
          <w:rFonts w:hint="eastAsia" w:ascii="仿宋_GB2312" w:hAnsi="仿宋_GB2312" w:eastAsia="仿宋_GB2312" w:cs="仿宋_GB2312"/>
          <w:sz w:val="32"/>
          <w:szCs w:val="32"/>
        </w:rPr>
        <w:t>为深入贯彻党的二十大精神和全国两会精神，聚焦自治区“五大任务”落实，深化“放管服”改革，优化营商环境，大兴调研之风，按照内蒙古自治区人社厅统一部署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乌拉特中旗人力资源和社会保障局持续推进“手拉手”全旗范围开展劳动用工执法检查工作。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5月26日旗人社局局长吴毕力格带队，</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自治区人社厅“手拉手”结对联系工作队员董斌</w:t>
      </w:r>
      <w:r>
        <w:rPr>
          <w:rFonts w:hint="eastAsia" w:ascii="仿宋_GB2312" w:hAnsi="仿宋_GB2312" w:eastAsia="仿宋_GB2312" w:cs="仿宋_GB2312"/>
          <w:sz w:val="32"/>
          <w:szCs w:val="32"/>
          <w:lang w:val="en-US" w:eastAsia="zh-CN"/>
        </w:rPr>
        <w:t>和旗人社局相关股室工作人员组成检查组先后前往乌拉特中旗太平矿业、内蒙古鹰联矿业有限责任公司、内蒙古温明矿业集团有限责任公司</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严格按照劳动用工9大类107项问题开展人力资源和社会保障劳动用工专项行动，经检查，主要存在劳动合同的劳动合同期限不规范、未将社会保险缴费明细告知劳动者本人、未制定女职工产假、未成年工特殊保护、禁止使用童工制度等问题，针对以上问题检查</w:t>
      </w:r>
      <w:bookmarkStart w:id="0" w:name="_GoBack"/>
      <w:bookmarkEnd w:id="0"/>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人员详细讲解相关法律法规及政策要求，口头责令企业立行立改。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在检查过程中，工作人员详细询问了劳动合同签订、工资支付、劳动保护及社会保险缴纳等情况，以及企业在劳动用工过程中遇到的问题和需求，对于企业提出的社保缴纳、合同签订等问题及时给予了解答。同时，通过建立工作日志和问题台账的方式进行了问题的分类汇总，推动检查问题整改落实。</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123825</wp:posOffset>
            </wp:positionH>
            <wp:positionV relativeFrom="paragraph">
              <wp:posOffset>3810</wp:posOffset>
            </wp:positionV>
            <wp:extent cx="4646295" cy="3160395"/>
            <wp:effectExtent l="0" t="0" r="1905" b="1905"/>
            <wp:wrapTopAndBottom/>
            <wp:docPr id="2" name="图片 2" descr="webwxgetmsg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ebwxgetmsgimg (1)"/>
                    <pic:cNvPicPr>
                      <a:picLocks noChangeAspect="1"/>
                    </pic:cNvPicPr>
                  </pic:nvPicPr>
                  <pic:blipFill>
                    <a:blip r:embed="rId5"/>
                    <a:stretch>
                      <a:fillRect/>
                    </a:stretch>
                  </pic:blipFill>
                  <pic:spPr>
                    <a:xfrm>
                      <a:off x="0" y="0"/>
                      <a:ext cx="4646295" cy="316039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-45720</wp:posOffset>
            </wp:positionH>
            <wp:positionV relativeFrom="paragraph">
              <wp:posOffset>206375</wp:posOffset>
            </wp:positionV>
            <wp:extent cx="5267960" cy="3698875"/>
            <wp:effectExtent l="0" t="0" r="8890" b="15875"/>
            <wp:wrapTopAndBottom/>
            <wp:docPr id="4" name="图片 4" descr="a17b4bca9af5da222bf2cc06d148c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17b4bca9af5da222bf2cc06d148cf9"/>
                    <pic:cNvPicPr>
                      <a:picLocks noChangeAspect="1"/>
                    </pic:cNvPicPr>
                  </pic:nvPicPr>
                  <pic:blipFill>
                    <a:blip r:embed="rId6"/>
                    <a:stretch>
                      <a:fillRect/>
                    </a:stretch>
                  </pic:blipFill>
                  <pic:spPr>
                    <a:xfrm>
                      <a:off x="0" y="0"/>
                      <a:ext cx="5267960" cy="369887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下一步，</w:t>
      </w:r>
      <w:r>
        <w:rPr>
          <w:rFonts w:hint="eastAsia" w:ascii="仿宋_GB2312" w:hAnsi="仿宋_GB2312" w:eastAsia="仿宋_GB2312" w:cs="仿宋_GB2312"/>
          <w:sz w:val="32"/>
          <w:szCs w:val="32"/>
          <w:lang w:val="en-US" w:eastAsia="zh-CN"/>
        </w:rPr>
        <w:t>旗</w:t>
      </w:r>
      <w:r>
        <w:rPr>
          <w:rFonts w:hint="eastAsia" w:ascii="仿宋_GB2312" w:hAnsi="仿宋_GB2312" w:eastAsia="仿宋_GB2312" w:cs="仿宋_GB2312"/>
          <w:sz w:val="32"/>
          <w:szCs w:val="32"/>
        </w:rPr>
        <w:t>人社局将深化政企合作交流机制，认真听取、优化、完善企业对人社工作提出的期盼需求、意见建议，确保人社各项政策更加精准地暖企惠企。针对企业提出的发展诉求，靠前服务、帮办到底，助力企业行稳致远、做大做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ZmQyYWZmNzMzYWY2NTJiNWEyYTk5NzVmMjBkODAifQ=="/>
  </w:docVars>
  <w:rsids>
    <w:rsidRoot w:val="2B941385"/>
    <w:rsid w:val="298B2AEB"/>
    <w:rsid w:val="2B941385"/>
    <w:rsid w:val="30D6554F"/>
    <w:rsid w:val="36631C6B"/>
    <w:rsid w:val="415723CD"/>
    <w:rsid w:val="5B451F0C"/>
    <w:rsid w:val="6E1B45FE"/>
    <w:rsid w:val="74C47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210"/>
      <w:jc w:val="left"/>
    </w:pPr>
    <w:rPr>
      <w:smallCap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662</Words>
  <Characters>673</Characters>
  <Lines>0</Lines>
  <Paragraphs>0</Paragraphs>
  <TotalTime>0</TotalTime>
  <ScaleCrop>false</ScaleCrop>
  <LinksUpToDate>false</LinksUpToDate>
  <CharactersWithSpaces>693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2023-05-29T07:30:00Z</dcterms:created>
  <dc:creator>Bo</dc:creator>
  <cp:lastModifiedBy>※君※</cp:lastModifiedBy>
  <dcterms:modified xsi:type="dcterms:W3CDTF">2023-05-30T09:19:30Z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A5A53EE64C994050B779F4D289E010AE_13</vt:lpwstr>
  </property>
</Properties>
</file>