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left="220" w:hanging="221" w:hangingChars="50"/>
        <w:jc w:val="center"/>
        <w:rPr>
          <w:rFonts w:hint="eastAsia" w:ascii="仿宋_GB2312" w:eastAsia="仿宋_GB2312"/>
          <w:b/>
          <w:color w:val="000000"/>
          <w:sz w:val="44"/>
          <w:szCs w:val="44"/>
        </w:rPr>
      </w:pPr>
    </w:p>
    <w:p>
      <w:pPr>
        <w:spacing w:line="480" w:lineRule="exact"/>
        <w:ind w:left="220" w:hanging="221" w:hangingChars="50"/>
        <w:jc w:val="center"/>
        <w:rPr>
          <w:rFonts w:hint="eastAsia" w:ascii="仿宋_GB2312" w:eastAsia="仿宋_GB2312"/>
          <w:b/>
          <w:color w:val="000000"/>
          <w:sz w:val="44"/>
          <w:szCs w:val="44"/>
        </w:rPr>
      </w:pPr>
    </w:p>
    <w:p>
      <w:pPr>
        <w:spacing w:line="480" w:lineRule="exact"/>
        <w:ind w:left="220" w:hanging="221" w:hangingChars="50"/>
        <w:jc w:val="center"/>
        <w:rPr>
          <w:rFonts w:hint="eastAsia" w:ascii="仿宋_GB2312" w:eastAsia="仿宋_GB2312"/>
          <w:b/>
          <w:color w:val="000000"/>
          <w:sz w:val="44"/>
          <w:szCs w:val="44"/>
        </w:rPr>
      </w:pPr>
    </w:p>
    <w:p>
      <w:pPr>
        <w:spacing w:line="480" w:lineRule="exact"/>
        <w:ind w:left="220" w:hanging="221" w:hangingChars="50"/>
        <w:jc w:val="center"/>
        <w:rPr>
          <w:rFonts w:hint="eastAsia" w:ascii="仿宋_GB2312" w:eastAsia="仿宋_GB2312"/>
          <w:b/>
          <w:color w:val="000000"/>
          <w:sz w:val="44"/>
          <w:szCs w:val="44"/>
        </w:rPr>
      </w:pPr>
    </w:p>
    <w:p>
      <w:pPr>
        <w:spacing w:line="480" w:lineRule="exact"/>
        <w:ind w:left="220" w:hanging="221" w:hangingChars="50"/>
        <w:jc w:val="center"/>
        <w:rPr>
          <w:rFonts w:hint="eastAsia" w:ascii="仿宋_GB2312" w:eastAsia="仿宋_GB2312"/>
          <w:b/>
          <w:color w:val="000000"/>
          <w:sz w:val="44"/>
          <w:szCs w:val="44"/>
        </w:rPr>
      </w:pPr>
    </w:p>
    <w:p>
      <w:pPr>
        <w:spacing w:line="500" w:lineRule="exact"/>
        <w:jc w:val="center"/>
        <w:rPr>
          <w:rFonts w:hint="eastAsia" w:ascii="黑体" w:hAnsi="黑体" w:eastAsia="黑体"/>
          <w:b/>
          <w:color w:val="000000"/>
          <w:sz w:val="44"/>
          <w:szCs w:val="44"/>
        </w:rPr>
      </w:pPr>
    </w:p>
    <w:p>
      <w:pPr>
        <w:spacing w:line="500" w:lineRule="exact"/>
        <w:jc w:val="center"/>
        <w:rPr>
          <w:rFonts w:hint="eastAsia" w:ascii="黑体" w:hAnsi="黑体" w:eastAsia="黑体"/>
          <w:b/>
          <w:color w:val="000000"/>
          <w:sz w:val="44"/>
          <w:szCs w:val="44"/>
        </w:rPr>
      </w:pPr>
    </w:p>
    <w:p>
      <w:pPr>
        <w:spacing w:line="500" w:lineRule="exact"/>
        <w:jc w:val="center"/>
        <w:rPr>
          <w:rFonts w:hint="eastAsia" w:ascii="黑体" w:hAnsi="黑体" w:eastAsia="黑体"/>
          <w:b/>
          <w:color w:val="000000"/>
          <w:sz w:val="44"/>
          <w:szCs w:val="44"/>
        </w:rPr>
      </w:pPr>
    </w:p>
    <w:p>
      <w:pPr>
        <w:spacing w:line="500" w:lineRule="exact"/>
        <w:jc w:val="center"/>
        <w:rPr>
          <w:rFonts w:hint="eastAsia" w:ascii="黑体" w:hAnsi="黑体" w:eastAsia="黑体"/>
          <w:b/>
          <w:color w:val="000000"/>
          <w:sz w:val="44"/>
          <w:szCs w:val="44"/>
        </w:rPr>
      </w:pPr>
    </w:p>
    <w:p>
      <w:pPr>
        <w:jc w:val="center"/>
        <w:rPr>
          <w:rFonts w:hint="eastAsia" w:ascii="仿宋_GB2312" w:hAnsi="仿宋_GB2312" w:eastAsia="仿宋_GB2312"/>
          <w:sz w:val="32"/>
        </w:rPr>
      </w:pPr>
    </w:p>
    <w:p>
      <w:pPr>
        <w:jc w:val="center"/>
        <w:rPr>
          <w:rFonts w:hint="eastAsia" w:ascii="仿宋_GB2312" w:hAnsi="仿宋_GB2312" w:eastAsia="仿宋_GB2312"/>
          <w:sz w:val="32"/>
        </w:rPr>
      </w:pPr>
    </w:p>
    <w:p>
      <w:pPr>
        <w:jc w:val="center"/>
        <w:rPr>
          <w:rFonts w:hint="eastAsia" w:ascii="仿宋_GB2312" w:hAnsi="仿宋_GB2312" w:eastAsia="仿宋_GB2312"/>
          <w:sz w:val="32"/>
        </w:rPr>
      </w:pPr>
      <w:r>
        <w:rPr>
          <w:rFonts w:hint="eastAsia" w:ascii="仿宋_GB2312" w:hAnsi="仿宋_GB2312" w:eastAsia="仿宋_GB2312"/>
          <w:sz w:val="32"/>
        </w:rPr>
        <w:t>乌后教字[20</w:t>
      </w:r>
      <w:r>
        <w:rPr>
          <w:rFonts w:hint="eastAsia" w:ascii="仿宋_GB2312" w:hAnsi="仿宋_GB2312" w:eastAsia="仿宋_GB2312"/>
          <w:sz w:val="32"/>
          <w:lang w:val="en-US" w:eastAsia="zh-CN"/>
        </w:rPr>
        <w:t>23</w:t>
      </w:r>
      <w:r>
        <w:rPr>
          <w:rFonts w:hint="eastAsia" w:ascii="仿宋_GB2312" w:hAnsi="仿宋_GB2312" w:eastAsia="仿宋_GB2312"/>
          <w:sz w:val="32"/>
        </w:rPr>
        <w:t>]</w:t>
      </w:r>
      <w:r>
        <w:rPr>
          <w:rFonts w:hint="eastAsia" w:ascii="仿宋_GB2312" w:hAnsi="仿宋_GB2312" w:eastAsia="仿宋_GB2312"/>
          <w:sz w:val="32"/>
          <w:lang w:val="en-US" w:eastAsia="zh-CN"/>
        </w:rPr>
        <w:t>104</w:t>
      </w:r>
      <w:r>
        <w:rPr>
          <w:rFonts w:hint="eastAsia" w:ascii="仿宋_GB2312" w:hAnsi="仿宋_GB2312" w:eastAsia="仿宋_GB2312"/>
          <w:sz w:val="32"/>
        </w:rPr>
        <w:t>号</w:t>
      </w:r>
    </w:p>
    <w:p>
      <w:pPr>
        <w:spacing w:line="500" w:lineRule="exact"/>
        <w:jc w:val="center"/>
        <w:rPr>
          <w:rFonts w:hint="eastAsia" w:ascii="黑体" w:hAnsi="黑体" w:eastAsia="黑体"/>
          <w:b/>
          <w:color w:val="000000"/>
          <w:sz w:val="44"/>
          <w:szCs w:val="44"/>
        </w:rPr>
      </w:pPr>
    </w:p>
    <w:p>
      <w:pPr>
        <w:spacing w:line="500" w:lineRule="exact"/>
        <w:jc w:val="center"/>
        <w:rPr>
          <w:rFonts w:hint="eastAsia" w:ascii="黑体" w:hAnsi="黑体" w:eastAsia="黑体"/>
          <w:b/>
          <w:color w:val="000000"/>
          <w:sz w:val="44"/>
          <w:szCs w:val="44"/>
        </w:rPr>
      </w:pPr>
    </w:p>
    <w:p>
      <w:pPr>
        <w:spacing w:line="500" w:lineRule="exact"/>
        <w:jc w:val="center"/>
        <w:rPr>
          <w:rFonts w:hint="eastAsia" w:ascii="黑体" w:hAnsi="黑体" w:eastAsia="黑体"/>
          <w:b/>
          <w:color w:val="000000"/>
          <w:sz w:val="44"/>
          <w:szCs w:val="44"/>
        </w:rPr>
      </w:pPr>
      <w:r>
        <w:rPr>
          <w:rFonts w:hint="eastAsia" w:ascii="黑体" w:hAnsi="黑体" w:eastAsia="黑体"/>
          <w:b/>
          <w:color w:val="000000"/>
          <w:sz w:val="44"/>
          <w:szCs w:val="44"/>
        </w:rPr>
        <w:t>关于旗政协第</w:t>
      </w:r>
      <w:r>
        <w:rPr>
          <w:rFonts w:hint="eastAsia" w:ascii="黑体" w:hAnsi="黑体" w:eastAsia="黑体"/>
          <w:b/>
          <w:color w:val="000000"/>
          <w:sz w:val="44"/>
          <w:szCs w:val="44"/>
          <w:lang w:val="en-US" w:eastAsia="zh-CN"/>
        </w:rPr>
        <w:t>十一</w:t>
      </w:r>
      <w:r>
        <w:rPr>
          <w:rFonts w:hint="eastAsia" w:ascii="黑体" w:hAnsi="黑体" w:eastAsia="黑体"/>
          <w:b/>
          <w:color w:val="000000"/>
          <w:sz w:val="44"/>
          <w:szCs w:val="44"/>
        </w:rPr>
        <w:t>届第</w:t>
      </w:r>
      <w:r>
        <w:rPr>
          <w:rFonts w:hint="eastAsia" w:ascii="黑体" w:hAnsi="黑体" w:eastAsia="黑体"/>
          <w:b/>
          <w:color w:val="000000"/>
          <w:sz w:val="44"/>
          <w:szCs w:val="44"/>
          <w:lang w:val="en-US" w:eastAsia="zh-CN"/>
        </w:rPr>
        <w:t>二</w:t>
      </w:r>
      <w:r>
        <w:rPr>
          <w:rFonts w:hint="eastAsia" w:ascii="黑体" w:hAnsi="黑体" w:eastAsia="黑体"/>
          <w:b/>
          <w:color w:val="000000"/>
          <w:sz w:val="44"/>
          <w:szCs w:val="44"/>
        </w:rPr>
        <w:t>次全体会议</w:t>
      </w:r>
    </w:p>
    <w:p>
      <w:pPr>
        <w:spacing w:line="500" w:lineRule="exact"/>
        <w:jc w:val="center"/>
        <w:rPr>
          <w:rFonts w:hint="eastAsia" w:ascii="黑体" w:hAnsi="黑体" w:eastAsia="黑体"/>
          <w:b/>
          <w:color w:val="000000"/>
          <w:sz w:val="44"/>
          <w:szCs w:val="44"/>
        </w:rPr>
      </w:pPr>
      <w:r>
        <w:rPr>
          <w:rFonts w:hint="eastAsia" w:ascii="黑体" w:hAnsi="黑体" w:eastAsia="黑体"/>
          <w:b/>
          <w:color w:val="000000"/>
          <w:sz w:val="44"/>
          <w:szCs w:val="44"/>
          <w:lang w:val="en-US" w:eastAsia="zh-CN"/>
        </w:rPr>
        <w:t>112050</w:t>
      </w:r>
      <w:r>
        <w:rPr>
          <w:rFonts w:hint="eastAsia" w:ascii="黑体" w:hAnsi="黑体" w:eastAsia="黑体"/>
          <w:b/>
          <w:color w:val="000000"/>
          <w:sz w:val="44"/>
          <w:szCs w:val="44"/>
        </w:rPr>
        <w:t>号提案的答复</w:t>
      </w:r>
    </w:p>
    <w:p>
      <w:pPr>
        <w:keepNext w:val="0"/>
        <w:keepLines w:val="0"/>
        <w:pageBreakBefore w:val="0"/>
        <w:kinsoku/>
        <w:wordWrap/>
        <w:overflowPunct/>
        <w:topLinePunct w:val="0"/>
        <w:autoSpaceDE/>
        <w:bidi w:val="0"/>
        <w:adjustRightInd/>
        <w:snapToGrid/>
        <w:spacing w:line="500" w:lineRule="exact"/>
        <w:ind w:left="0" w:leftChars="0" w:right="0" w:rightChars="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lang w:val="en-US" w:eastAsia="zh-CN"/>
        </w:rPr>
        <w:t>白玉凤</w:t>
      </w:r>
      <w:r>
        <w:rPr>
          <w:rFonts w:hint="eastAsia" w:ascii="仿宋_GB2312" w:eastAsia="仿宋_GB2312"/>
          <w:color w:val="000000"/>
          <w:sz w:val="32"/>
          <w:szCs w:val="32"/>
        </w:rPr>
        <w:t>委员：</w:t>
      </w:r>
    </w:p>
    <w:p>
      <w:pPr>
        <w:keepNext w:val="0"/>
        <w:keepLines w:val="0"/>
        <w:pageBreakBefore w:val="0"/>
        <w:kinsoku/>
        <w:wordWrap/>
        <w:overflowPunct/>
        <w:topLinePunct w:val="0"/>
        <w:autoSpaceDE/>
        <w:bidi w:val="0"/>
        <w:adjustRightInd/>
        <w:snapToGrid/>
        <w:spacing w:line="500" w:lineRule="exact"/>
        <w:ind w:left="0" w:leftChars="0" w:right="0" w:rightChars="0" w:firstLine="640" w:firstLineChars="200"/>
        <w:jc w:val="both"/>
        <w:textAlignment w:val="auto"/>
        <w:outlineLvl w:val="9"/>
        <w:rPr>
          <w:rFonts w:hint="eastAsia" w:ascii="仿宋_GB2312" w:eastAsia="仿宋_GB2312"/>
          <w:color w:val="000000"/>
          <w:sz w:val="32"/>
          <w:szCs w:val="32"/>
        </w:rPr>
      </w:pPr>
      <w:r>
        <w:rPr>
          <w:rFonts w:hint="eastAsia" w:ascii="仿宋_GB2312" w:eastAsia="仿宋_GB2312"/>
          <w:color w:val="000000"/>
          <w:sz w:val="32"/>
          <w:szCs w:val="32"/>
        </w:rPr>
        <w:t>您提出的《</w:t>
      </w:r>
      <w:r>
        <w:rPr>
          <w:rFonts w:hint="eastAsia" w:ascii="仿宋_GB2312" w:eastAsia="仿宋_GB2312"/>
          <w:color w:val="000000"/>
          <w:sz w:val="32"/>
          <w:szCs w:val="32"/>
          <w:lang w:val="en-US" w:eastAsia="zh-CN"/>
        </w:rPr>
        <w:t>关于全力为教育减负松绑护航的提案</w:t>
      </w:r>
      <w:r>
        <w:rPr>
          <w:rFonts w:hint="eastAsia" w:ascii="仿宋_GB2312" w:eastAsia="仿宋_GB2312"/>
          <w:color w:val="000000"/>
          <w:sz w:val="32"/>
          <w:szCs w:val="32"/>
        </w:rPr>
        <w:t>》已收悉，现就有关问题答复如下：</w:t>
      </w:r>
    </w:p>
    <w:p>
      <w:pPr>
        <w:keepNext w:val="0"/>
        <w:keepLines w:val="0"/>
        <w:pageBreakBefore w:val="0"/>
        <w:numPr>
          <w:ilvl w:val="0"/>
          <w:numId w:val="1"/>
        </w:numPr>
        <w:kinsoku/>
        <w:wordWrap/>
        <w:overflowPunct/>
        <w:topLinePunct w:val="0"/>
        <w:autoSpaceDE/>
        <w:bidi w:val="0"/>
        <w:adjustRightInd/>
        <w:snapToGrid/>
        <w:spacing w:line="500" w:lineRule="exact"/>
        <w:ind w:left="0" w:leftChars="0" w:right="0" w:rightChars="0" w:firstLine="640" w:firstLineChars="200"/>
        <w:jc w:val="both"/>
        <w:textAlignment w:val="auto"/>
        <w:outlineLvl w:val="9"/>
        <w:rPr>
          <w:rFonts w:hint="eastAsia" w:ascii="仿宋_GB2312" w:hAnsi="仿宋_GB2312" w:eastAsia="仿宋_GB2312" w:cs="仿宋_GB2312"/>
          <w:color w:val="000000"/>
          <w:sz w:val="32"/>
          <w:szCs w:val="32"/>
          <w:lang w:val="en-US" w:eastAsia="zh-CN"/>
        </w:rPr>
      </w:pPr>
      <w:r>
        <w:rPr>
          <w:rFonts w:hint="eastAsia" w:ascii="黑体" w:hAnsi="黑体" w:eastAsia="黑体" w:cs="黑体"/>
          <w:color w:val="000000"/>
          <w:sz w:val="32"/>
          <w:szCs w:val="32"/>
          <w:lang w:val="en-US" w:eastAsia="zh-CN"/>
        </w:rPr>
        <w:t>关于“全力为学校减负释压”的建议</w:t>
      </w:r>
    </w:p>
    <w:p>
      <w:pPr>
        <w:keepNext w:val="0"/>
        <w:keepLines w:val="0"/>
        <w:pageBreakBefore w:val="0"/>
        <w:numPr>
          <w:numId w:val="0"/>
        </w:numPr>
        <w:kinsoku/>
        <w:wordWrap/>
        <w:overflowPunct/>
        <w:topLinePunct w:val="0"/>
        <w:autoSpaceDE/>
        <w:bidi w:val="0"/>
        <w:adjustRightInd/>
        <w:snapToGrid/>
        <w:spacing w:line="5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lang w:val="en-US" w:eastAsia="zh-CN"/>
        </w:rPr>
      </w:pPr>
      <w:bookmarkStart w:id="0" w:name="_GoBack"/>
      <w:bookmarkEnd w:id="0"/>
      <w:r>
        <w:rPr>
          <w:rFonts w:hint="eastAsia" w:ascii="仿宋_GB2312" w:hAnsi="仿宋_GB2312" w:eastAsia="仿宋_GB2312" w:cs="仿宋_GB2312"/>
          <w:color w:val="000000"/>
          <w:sz w:val="32"/>
          <w:szCs w:val="32"/>
          <w:lang w:val="en-US" w:eastAsia="zh-CN"/>
        </w:rPr>
        <w:t>1.坚决贯彻党中央国务院关于教育的一系列文件精神，以及习近平总书记关于教育工作的重要论述，坚决按有关政策落实，把安全稳定工作作为压倒一切的首要政治任务来抓实抓细，</w:t>
      </w:r>
      <w:r>
        <w:rPr>
          <w:rFonts w:hint="eastAsia" w:ascii="仿宋_GB2312" w:hAnsi="仿宋_GB2312" w:eastAsia="仿宋_GB2312" w:cs="仿宋_GB2312"/>
          <w:color w:val="000000"/>
          <w:sz w:val="32"/>
          <w:szCs w:val="32"/>
          <w:lang w:val="en-US" w:eastAsia="zh-CN"/>
        </w:rPr>
        <w:t>预防为主、强化管理、经常教育、形成意识、保秩序、保安全、保稳定，</w:t>
      </w:r>
      <w:r>
        <w:rPr>
          <w:rFonts w:hint="eastAsia" w:ascii="仿宋_GB2312" w:hAnsi="仿宋_GB2312" w:eastAsia="仿宋_GB2312" w:cs="仿宋_GB2312"/>
          <w:color w:val="000000"/>
          <w:sz w:val="32"/>
          <w:szCs w:val="32"/>
          <w:lang w:val="en-US" w:eastAsia="zh-CN"/>
        </w:rPr>
        <w:t>不断增强大局意识和责任意识。</w:t>
      </w:r>
    </w:p>
    <w:p>
      <w:pPr>
        <w:keepNext w:val="0"/>
        <w:keepLines w:val="0"/>
        <w:pageBreakBefore w:val="0"/>
        <w:widowControl w:val="0"/>
        <w:numPr>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2.提请政府制定、出台规范各类社会事务进校园的文件，</w:t>
      </w:r>
      <w:r>
        <w:rPr>
          <w:rFonts w:hint="eastAsia" w:ascii="仿宋_GB2312" w:hAnsi="仿宋_GB2312" w:eastAsia="仿宋_GB2312" w:cs="仿宋_GB2312"/>
          <w:color w:val="000000"/>
          <w:sz w:val="32"/>
          <w:szCs w:val="32"/>
          <w:lang w:val="en-US" w:eastAsia="zh-CN"/>
        </w:rPr>
        <w:t>社会事务进校园必须与教育教学相关且由教育主管部门统一安排，严禁影响正常教育教学秩序。</w:t>
      </w:r>
      <w:r>
        <w:rPr>
          <w:rFonts w:hint="eastAsia" w:ascii="仿宋_GB2312" w:hAnsi="仿宋_GB2312" w:eastAsia="仿宋_GB2312" w:cs="仿宋_GB2312"/>
          <w:color w:val="000000"/>
          <w:sz w:val="32"/>
          <w:szCs w:val="32"/>
          <w:lang w:val="en-US" w:eastAsia="zh-CN"/>
        </w:rPr>
        <w:t>全旗范围内部署进学校的各类社会事务，须报旗教育工作领导小组审批同意后，列出清单，由旗教育局统一部署安排、统筹开展。凡清单外的社会事务，一律不得进校园。政府相关部门统一部署的涉及国家安全、人防安全、信访维稳、扫黑除恶、扫黄打非、反邪教、防诈骗、防灾减灾、消防安全、禁毒等工作，由旗教育局按要求依程序统筹部署实施，如已经融入教材和日常教学活动的，不在单独安排进校园。政府各有关部门不得把与学校教学无关的社会事务强制摊派给学校、幼儿园，并向教师下达指令性任务，不得强制或以与考核挂钩等方式要求学校和教师安装与教育教学无关的各类APP、关注公众平台、公众号以及参与点赞投票、人物评选、问卷调查、网络答题等活动。严格控制各类督查检查评比考核事项，能合并的合并，能取消的取消，确保应减尽减，能减必减，提高考核工作能力和水平，简化程序，减少环节，减少表格等材料，不得以简单留痕、台账等作为评判工作成效的标准，不得刚安排工作就开展督查评比考核。文件会议学习培训必须结合学校教育教学管理或教师专业发展，严禁走形式，走过场，摊派无关的工作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加大宣传引导力度。以报纸、杂志、广播、电视、网络、信息、宣讲团等多种形式为载体，加大对家庭教育的宣传力度，让全社会认识到家庭教育对孩子、对家庭、对社会、对国家发展的意义，从而督促和推动全社会共同关注和解决家庭教育存在的问题。建立惩处机制，建议由司法部门介入进行警醒谈话，并研究惩戒标准及法律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二、关于“全力推进立德树人工程”的建议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1.坚持以社会主义核心价值观和新时代党的教育方针为引领，加强中小学生德育建设。</w:t>
      </w:r>
      <w:r>
        <w:rPr>
          <w:rFonts w:hint="eastAsia" w:ascii="仿宋_GB2312" w:hAnsi="仿宋_GB2312" w:eastAsia="仿宋_GB2312" w:cs="仿宋_GB2312"/>
          <w:color w:val="000000"/>
          <w:sz w:val="32"/>
          <w:szCs w:val="32"/>
        </w:rPr>
        <w:t>坚持“五育”并举</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德育为先的工作原则</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通过德育课程、学科渗透</w:t>
      </w:r>
      <w:r>
        <w:rPr>
          <w:rFonts w:hint="eastAsia" w:ascii="仿宋_GB2312" w:hAnsi="仿宋_GB2312" w:eastAsia="仿宋_GB2312" w:cs="仿宋_GB2312"/>
          <w:color w:val="000000"/>
          <w:sz w:val="32"/>
          <w:szCs w:val="32"/>
          <w:lang w:eastAsia="zh-CN"/>
        </w:rPr>
        <w:t>、主题活动、艺</w:t>
      </w:r>
      <w:r>
        <w:rPr>
          <w:rFonts w:hint="eastAsia" w:ascii="仿宋_GB2312" w:hAnsi="仿宋_GB2312" w:eastAsia="仿宋_GB2312" w:cs="仿宋_GB2312"/>
          <w:color w:val="000000"/>
          <w:sz w:val="32"/>
          <w:szCs w:val="32"/>
          <w:lang w:val="en-US" w:eastAsia="zh-CN"/>
        </w:rPr>
        <w:t>体</w:t>
      </w:r>
      <w:r>
        <w:rPr>
          <w:rFonts w:hint="eastAsia" w:ascii="仿宋_GB2312" w:hAnsi="仿宋_GB2312" w:eastAsia="仿宋_GB2312" w:cs="仿宋_GB2312"/>
          <w:color w:val="000000"/>
          <w:sz w:val="32"/>
          <w:szCs w:val="32"/>
          <w:lang w:eastAsia="zh-CN"/>
        </w:rPr>
        <w:t>展演、研学</w:t>
      </w:r>
      <w:r>
        <w:rPr>
          <w:rFonts w:hint="eastAsia" w:ascii="仿宋_GB2312" w:hAnsi="仿宋_GB2312" w:eastAsia="仿宋_GB2312" w:cs="仿宋_GB2312"/>
          <w:color w:val="000000"/>
          <w:sz w:val="32"/>
          <w:szCs w:val="32"/>
          <w:lang w:val="en-US" w:eastAsia="zh-CN"/>
        </w:rPr>
        <w:t>实践等载体开展全员、全过程、全方位</w:t>
      </w:r>
      <w:r>
        <w:rPr>
          <w:rFonts w:hint="eastAsia" w:ascii="仿宋_GB2312" w:hAnsi="仿宋_GB2312" w:eastAsia="仿宋_GB2312" w:cs="仿宋_GB2312"/>
          <w:color w:val="000000"/>
          <w:sz w:val="32"/>
          <w:szCs w:val="32"/>
        </w:rPr>
        <w:t>育人</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sz w:val="32"/>
          <w:szCs w:val="32"/>
          <w:lang w:val="en-US" w:eastAsia="zh-CN"/>
        </w:rPr>
      </w:pPr>
      <w:r>
        <w:rPr>
          <w:rFonts w:hint="eastAsia" w:ascii="仿宋_GB2312" w:hAnsi="仿宋_GB2312" w:eastAsia="仿宋_GB2312" w:cs="仿宋_GB2312"/>
          <w:color w:val="auto"/>
          <w:sz w:val="32"/>
          <w:szCs w:val="32"/>
          <w:lang w:val="en-US" w:eastAsia="zh-CN"/>
        </w:rPr>
        <w:t>指导各学校开展丰富的团少活动，传承中华美德。</w:t>
      </w:r>
      <w:r>
        <w:rPr>
          <w:rFonts w:hint="eastAsia" w:ascii="仿宋_GB2312" w:hAnsi="仿宋_GB2312" w:eastAsia="仿宋_GB2312" w:cs="仿宋_GB2312"/>
          <w:color w:val="auto"/>
          <w:sz w:val="32"/>
          <w:szCs w:val="32"/>
        </w:rPr>
        <w:t>根据学生的身心特点，将德育工作寓于丰富多彩的活动之中</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突出德育实效。构建以社会主义核心价值观为引领的德育体系，建立全员全过程全方位育人的体制机制。将学科教育与德育教育相融合，以铸牢中华民族共同体意识为主线，实施传承中华优秀传统文化工程、红色基因传承工程，着力在理想信念、爱国情怀、品德修养、</w:t>
      </w:r>
      <w:r>
        <w:rPr>
          <w:rFonts w:hint="eastAsia" w:ascii="仿宋_GB2312" w:hAnsi="仿宋_GB2312" w:eastAsia="仿宋_GB2312" w:cs="仿宋_GB2312"/>
          <w:color w:val="auto"/>
          <w:sz w:val="32"/>
          <w:szCs w:val="32"/>
        </w:rPr>
        <w:t>增强综合素质上下功夫</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将德育活动与社会实践相结合，组织学生参观</w:t>
      </w:r>
      <w:r>
        <w:rPr>
          <w:rFonts w:hint="eastAsia" w:ascii="仿宋_GB2312" w:hAnsi="仿宋_GB2312" w:eastAsia="仿宋_GB2312" w:cs="仿宋_GB2312"/>
          <w:color w:val="auto"/>
          <w:sz w:val="32"/>
          <w:szCs w:val="32"/>
          <w:lang w:eastAsia="zh-CN"/>
        </w:rPr>
        <w:t>爱国主义教育</w:t>
      </w:r>
      <w:r>
        <w:rPr>
          <w:rFonts w:hint="eastAsia" w:ascii="仿宋_GB2312" w:hAnsi="仿宋_GB2312" w:eastAsia="仿宋_GB2312" w:cs="仿宋_GB2312"/>
          <w:color w:val="auto"/>
          <w:sz w:val="32"/>
          <w:szCs w:val="32"/>
          <w:lang w:val="en-US" w:eastAsia="zh-CN"/>
        </w:rPr>
        <w:t>基地</w:t>
      </w:r>
      <w:r>
        <w:rPr>
          <w:rFonts w:hint="eastAsia" w:ascii="仿宋_GB2312" w:hAnsi="仿宋_GB2312" w:eastAsia="仿宋_GB2312" w:cs="仿宋_GB2312"/>
          <w:color w:val="auto"/>
          <w:sz w:val="32"/>
          <w:szCs w:val="32"/>
          <w:lang w:eastAsia="zh-CN"/>
        </w:rPr>
        <w:t>、党史教育</w:t>
      </w:r>
      <w:r>
        <w:rPr>
          <w:rFonts w:hint="eastAsia" w:ascii="仿宋_GB2312" w:hAnsi="仿宋_GB2312" w:eastAsia="仿宋_GB2312" w:cs="仿宋_GB2312"/>
          <w:color w:val="auto"/>
          <w:sz w:val="32"/>
          <w:szCs w:val="32"/>
          <w:lang w:val="en-US" w:eastAsia="zh-CN"/>
        </w:rPr>
        <w:t>基地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了解</w:t>
      </w:r>
      <w:r>
        <w:rPr>
          <w:rFonts w:hint="eastAsia" w:ascii="仿宋_GB2312" w:hAnsi="仿宋_GB2312" w:eastAsia="仿宋_GB2312" w:cs="仿宋_GB2312"/>
          <w:color w:val="auto"/>
          <w:sz w:val="32"/>
          <w:szCs w:val="32"/>
          <w:lang w:eastAsia="zh-CN"/>
        </w:rPr>
        <w:t>革命传统教育</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lang w:eastAsia="zh-CN"/>
        </w:rPr>
        <w:t>中华优秀传统文化；</w:t>
      </w:r>
      <w:r>
        <w:rPr>
          <w:rFonts w:hint="eastAsia" w:ascii="仿宋_GB2312" w:hAnsi="仿宋_GB2312" w:eastAsia="仿宋_GB2312" w:cs="仿宋_GB2312"/>
          <w:color w:val="auto"/>
          <w:sz w:val="32"/>
          <w:szCs w:val="32"/>
        </w:rPr>
        <w:t>中小学坚持每周</w:t>
      </w:r>
      <w:r>
        <w:rPr>
          <w:rFonts w:hint="eastAsia" w:ascii="仿宋_GB2312" w:hAnsi="仿宋_GB2312" w:eastAsia="仿宋_GB2312" w:cs="仿宋_GB2312"/>
          <w:color w:val="auto"/>
          <w:sz w:val="32"/>
          <w:szCs w:val="32"/>
          <w:lang w:val="en-US" w:eastAsia="zh-CN"/>
        </w:rPr>
        <w:t>以及</w:t>
      </w:r>
      <w:r>
        <w:rPr>
          <w:rFonts w:hint="eastAsia" w:ascii="仿宋_GB2312" w:hAnsi="仿宋_GB2312" w:eastAsia="仿宋_GB2312" w:cs="仿宋_GB2312"/>
          <w:color w:val="auto"/>
          <w:sz w:val="32"/>
          <w:szCs w:val="32"/>
        </w:rPr>
        <w:t>重大节庆日举行升国旗仪式,开展向国旗敬礼、国旗下宣誓、国旗下讲话等活动,每周组织开展1次主题班、团、队会,</w:t>
      </w:r>
      <w:r>
        <w:rPr>
          <w:rFonts w:hint="eastAsia" w:ascii="仿宋_GB2312" w:hAnsi="仿宋_GB2312" w:eastAsia="仿宋_GB2312" w:cs="仿宋_GB2312"/>
          <w:color w:val="auto"/>
          <w:sz w:val="32"/>
          <w:szCs w:val="32"/>
          <w:lang w:val="en-US" w:eastAsia="zh-CN"/>
        </w:rPr>
        <w:t>引导青少年、儿童听党话、跟党走，</w:t>
      </w:r>
      <w:r>
        <w:rPr>
          <w:rFonts w:hint="eastAsia" w:ascii="仿宋_GB2312" w:hAnsi="仿宋_GB2312" w:eastAsia="仿宋_GB2312" w:cs="仿宋_GB2312"/>
          <w:color w:val="auto"/>
          <w:sz w:val="32"/>
          <w:szCs w:val="32"/>
        </w:rPr>
        <w:t>努力培养担当民族复兴大任的时代新人</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2.妇联、教育局、关工委联合社区已成立社区家长学校4所，社区家长学校是架起社区与家长之间联系的桥梁和纽带。依托家长学校这个平台，社区家长学校不定期开展知识讲座、家长沙龙活动、个体心理咨询、工作觉醒访谈等多种形式的活动。建议由政府购买第三方服务项目介入或社会组织购买民政部门社会力量服务公益项目在后旗实施，同时丰富辖区家长和孩子的娱乐生活，构筑孩子健康成长的环境，树立正确的家庭教育理念。</w:t>
      </w:r>
    </w:p>
    <w:p>
      <w:pPr>
        <w:pStyle w:val="2"/>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下一步，我旗将认真吸纳代表提出的意见建议，不断深化教育改革，推进依法治教、依法办学、依法执教，大力激发学校办学活力，促进后旗教育高质量发展。</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8F0A44"/>
    <w:multiLevelType w:val="singleLevel"/>
    <w:tmpl w:val="2E8F0A4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wODQ0YTU4YzVjYWViNzhhYTljYTc2MzhlYTJmM2QifQ=="/>
  </w:docVars>
  <w:rsids>
    <w:rsidRoot w:val="00000000"/>
    <w:rsid w:val="11335637"/>
    <w:rsid w:val="15797422"/>
    <w:rsid w:val="1D660B43"/>
    <w:rsid w:val="1EF35865"/>
    <w:rsid w:val="204F1D62"/>
    <w:rsid w:val="2BA55D9B"/>
    <w:rsid w:val="341E6AC8"/>
    <w:rsid w:val="37393771"/>
    <w:rsid w:val="3902576C"/>
    <w:rsid w:val="3DAB20BC"/>
    <w:rsid w:val="410E6E6F"/>
    <w:rsid w:val="48EF6365"/>
    <w:rsid w:val="4B484128"/>
    <w:rsid w:val="53653148"/>
    <w:rsid w:val="61301D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宋体" w:hAnsi="宋体" w:cs="宋体"/>
      <w:sz w:val="31"/>
      <w:szCs w:val="31"/>
    </w:rPr>
  </w:style>
  <w:style w:type="paragraph" w:styleId="4">
    <w:name w:val="Normal (Web)"/>
    <w:basedOn w:val="1"/>
    <w:unhideWhenUsed/>
    <w:uiPriority w:val="99"/>
    <w:pPr>
      <w:spacing w:before="100" w:beforeAutospacing="1" w:after="100" w:afterAutospacing="1"/>
      <w:ind w:left="0" w:right="0"/>
      <w:jc w:val="left"/>
    </w:pPr>
    <w:rPr>
      <w:kern w:val="0"/>
      <w:sz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1600</Words>
  <Characters>1620</Characters>
  <Lines>0</Lines>
  <Paragraphs>0</Paragraphs>
  <TotalTime>6</TotalTime>
  <ScaleCrop>false</ScaleCrop>
  <LinksUpToDate>false</LinksUpToDate>
  <CharactersWithSpaces>1620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2023-05-29T08:05:00Z</dcterms:created>
  <dc:creator>admin</dc:creator>
  <cp:lastModifiedBy>admin</cp:lastModifiedBy>
  <dcterms:modified xsi:type="dcterms:W3CDTF">2023-07-03T02:05:56Z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7E5D88377BF14E61B5D1E6F9E212A03D_12</vt:lpwstr>
  </property>
</Properties>
</file>