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乌拉特后旗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紧密型县域医疗卫生共同体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建工作方案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试行2.0版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1918" w:leftChars="304" w:right="0" w:hanging="1280" w:hangingChars="400"/>
        <w:jc w:val="left"/>
        <w:textAlignment w:val="auto"/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1918" w:leftChars="304" w:right="0" w:hanging="1280" w:hangingChars="400"/>
        <w:jc w:val="left"/>
        <w:textAlignment w:val="auto"/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1918" w:leftChars="304" w:right="0" w:hanging="1280" w:hangingChars="400"/>
        <w:jc w:val="left"/>
        <w:textAlignment w:val="auto"/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1：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  <w:lang w:val="en-US" w:eastAsia="zh-CN"/>
        </w:rPr>
        <w:t>乌拉特后旗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</w:rPr>
        <w:t>医疗卫生共同体建设政府办医责任清单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附件2：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  <w:lang w:val="en-US" w:eastAsia="zh-CN"/>
        </w:rPr>
        <w:t>乌拉特后旗紧密型县域医共体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</w:rPr>
        <w:t>建设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  <w:lang w:val="en-US" w:eastAsia="zh-CN"/>
        </w:rPr>
        <w:t>部门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</w:rPr>
        <w:t>责任清单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3：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  <w:lang w:val="en-US" w:eastAsia="zh-CN"/>
        </w:rPr>
        <w:t>乌拉特后旗紧密型县域医共体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</w:rPr>
        <w:t>建设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  <w:lang w:val="en-US" w:eastAsia="zh-CN"/>
        </w:rPr>
        <w:t>医疗机构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</w:rPr>
        <w:t>责任清单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4：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  <w:lang w:val="en-US" w:eastAsia="zh-CN"/>
        </w:rPr>
        <w:t>乌拉特后旗紧密型县域医共体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</w:rPr>
        <w:t>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</w:rPr>
        <w:t>内部运行管理清单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34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5：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34"/>
          <w:sz w:val="32"/>
          <w:szCs w:val="32"/>
          <w:shd w:val="clear" w:fill="FFFFFF"/>
          <w:lang w:val="en-US" w:eastAsia="zh-CN"/>
        </w:rPr>
        <w:t>乌拉特后旗紧密型县域医共体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34"/>
          <w:sz w:val="32"/>
          <w:szCs w:val="32"/>
          <w:shd w:val="clear" w:fill="FFFFFF"/>
        </w:rPr>
        <w:t>建设外部治理综合监管清单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  <w:lang w:val="en-US" w:eastAsia="zh-CN"/>
        </w:rPr>
      </w:pP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6：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  <w:lang w:val="en-US" w:eastAsia="zh-CN"/>
        </w:rPr>
        <w:t>乌拉特后旗紧密型县域医共体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</w:rPr>
        <w:t>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</w:rPr>
        <w:t>实施成效评估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  <w:lang w:val="en-US" w:eastAsia="zh-CN"/>
        </w:rPr>
        <w:t>清单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</w:rPr>
      </w:pP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7：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32"/>
          <w:szCs w:val="32"/>
          <w:lang w:val="en-US" w:eastAsia="zh-CN"/>
        </w:rPr>
        <w:t>乌拉特后旗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</w:rPr>
        <w:t>紧密型医疗卫生共同体主要任务分解表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乌拉特后旗</w:t>
      </w: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医疗卫生共同体建设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政府办医责任清单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为全面推进紧密型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旗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域医共体建设，合理界定政府公立医疗卫生机构出资人的举办职责（医共体管理委员会代表政府行使），按照政府办医的领导责任、保障责任、管理责任、监督责任，结合我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旗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实际，制定政府办医责任清单。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一、行使政府办医职能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1.行使公立医疗卫生机构举办权、发展权、重大事项决策权，以及公立医院资产收益权等。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2.负责审议公立医院章程、发展规划、重大项目实施、收支预算等。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二、指导医共体总医院建立党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组织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领导下的院长负责制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3.指导医共体加强体内医疗卫生机构党建工作。落实公立医院院级党组织领导下的院长负责制。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4.指导提升基层党建工作水平，加强思想政治工作和医德医风建设。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三、制定区域卫生规划和医疗机构设置规划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5.整合优化医疗卫生机构布局和资源配置，根据乡村振兴规划和紧密型县域医共体建设，合理调整控制公立医疗卫生机构数量和规模。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四、落实政府对公立医疗卫生机构投入责任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6.落实政府对符合区域卫生规划的公立医院基本建设和设备购置、重点学科发展、人才培养和政策性亏损补贴等投入，对公立医院承担的公共卫生任务等给予专项补助，保障政府指定的紧急救治、救灾、援外、重大活动医疗保障、支农、支边和城乡医院对口支援等公共服务经费。落实对中医院的投入倾斜政策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7.落实乡（镇）卫生院一类事业单位财政经费定向补助政策。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8.落实村卫生室补助政策。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9.化解公立医院长期债务。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五、合理调整医疗服务价格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10.以成本和收入结构变化为基础，动态调整。根据医保基金承受能力，建立价格调整联动机制。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六、人事薪酬分配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11.建立紧密型县域医共体柔性人才流动机制，总医院各院区、各分院编制实行动态调整。落实医共体牵头医院用人自主权，建立能上能下、能进能出的灵活用人机制。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12.按照“两个允许”的要求，落实有利于调动医务人员积极性、符合医疗卫生行业特点、体现以知识（技术）价值为导向的薪酬分配制度，完善与紧密型县域医共体相适应的绩效工资政策，健全与岗位职责、工作业绩、实际贡献紧密联系的分配激励机制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七、建立以公益性为导向的考核评价机制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13.制定绩效评价指标体系，突出功能定位、职责履行、费用控制、运行绩效、财务管理、成本控制、患者满意度等考核指标，定期组织公立医院绩效考核以及院长年度和任期目标责任考核。对公立医院院长实行年薪制，经费由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旗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财政承担。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八、领导人员任用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14．按照公立医院和事业单位领导人员管理相关规定和办法，选拔任用医共体总医院领导班子成员，实行任期制、任期目标责任制和年度目标责任制。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九、医保基金管理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15．建立严格的医保基金管理制度，落实分级诊疗医保政策，制定县乡医疗卫生机构严格转诊病种目录，控制医疗费用不合理增长。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十、培养人才、发展学科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16．对急需或紧缺人才、高端人才实行奖励性人才引进。加强医院学科建设发展，巩固和扩大重点专科，培育扶持紧缺、薄弱学科。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十一、落实法定、国家和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自治区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规定的有关政府办医职责的其他权利和义务。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乌拉特后旗紧密型县域医共体</w:t>
      </w: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建设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部门</w:t>
      </w: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责任清单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为全面推进紧密型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域医共体建设，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明确旗直相关部门的工作职责和任务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，结合我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实际，制定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医共体建设部门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责任清单。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val="en-US" w:eastAsia="zh-CN"/>
        </w:rPr>
        <w:t>组织部。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负责做好紧密型医共体党建工作的安排部署，确定党组织组建方式，对其党组织负责人及相关人员和职责职能进行确定。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宣传部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要积极宣传，着力营造有利于深化改革、有利于紧密型医共体建设的良好社会氛围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</w:rPr>
        <w:t>编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val="en-US" w:eastAsia="zh-CN"/>
        </w:rPr>
        <w:t>制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</w:rPr>
        <w:t>办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负责做好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级医疗机构和基层医疗机构人员编制总量核定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及控制数和编制周转池的改革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val="en-US" w:eastAsia="zh-CN"/>
        </w:rPr>
        <w:t>4.人社局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按照上级政策规定，负责调整完善人事薪酬制度，指导医共体制定人员柔性流动及调配方案，建立与医共体建设相适应的激励政策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</w:rPr>
        <w:t>.财政局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落实财政投入保障政策，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  <w:t>研究制定财政投入及补助办法，建立稳定的财政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  <w:t>投人补助机制。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完善与医共体建设相适应的补偿激励政策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</w:rPr>
        <w:t>.发展和改革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eastAsia="zh-CN"/>
        </w:rPr>
        <w:t>委。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  <w:t>指导好规划建设，并积极争取卫生健康建设项目，提升基础设施硬件配置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both"/>
        <w:textAlignment w:val="auto"/>
        <w:rPr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</w:rPr>
        <w:t>.卫生健康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eastAsia="zh-CN"/>
        </w:rPr>
        <w:t>委。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  <w:t>发挥好行业主管部门职能职责，落实行业监管，牵头研究制定区域卫生规划工作指导意见、医疗机构设置规划、医疗资源整合、下沉等具体建设措施并组织实施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，协调解决医共体建设中的困难问题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</w:rPr>
        <w:t>医疗保障局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  <w:t>牵头研究制定医共体医保打包付费改革及药品、价格联动改革的意见措施，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负责参保居民待遇落实等，对医共体医保基金使用情况进行全程监管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</w:rPr>
        <w:t>积极推进医共体建设。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val="en-US" w:eastAsia="zh-CN"/>
        </w:rPr>
        <w:t>9.市场监督管理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eastAsia="zh-CN"/>
        </w:rPr>
        <w:t>落实监管职责，抓好医共体内药品、医疗器械的监督管理；研究制订医共体内药品和医疗器械双向流通政策。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val="en-US" w:eastAsia="zh-CN"/>
        </w:rPr>
        <w:t>10.审计局。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落实对医共体各单位资金、建设项目、固定资产等进行定期或不定期审计，规范医共体财经运行行为。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both"/>
        <w:textAlignment w:val="auto"/>
        <w:rPr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各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医疗卫生单位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要顾全大局、服从安排、履行协议，建立工作责任机制，认真组织实施，确保医共体建设及管理工作不断深入，取得实效。</w:t>
      </w:r>
    </w:p>
    <w:p>
      <w:pPr>
        <w:rPr>
          <w:rFonts w:hint="eastAsia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</w:t>
      </w:r>
    </w:p>
    <w:p>
      <w:pPr>
        <w:rPr>
          <w:rFonts w:hint="eastAsia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乌拉特后旗紧密型县域医共体</w:t>
      </w: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建设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医疗机构</w:t>
      </w: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责任清单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为全面推进紧密型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域医共体建设，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明确各级医疗卫生机构的工作职责和任务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，结合我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实际，制定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医共体建设医疗机构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责任清单。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FF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0"/>
          <w:sz w:val="32"/>
          <w:szCs w:val="32"/>
          <w:lang w:val="en-US" w:eastAsia="zh-CN"/>
        </w:rPr>
        <w:t>一、医共体总院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1.负责医共体建设日常事务工作；联合医共体内成员单位制定医共体管理的各项工作制度、工作措施及相关工作协议。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2.牵头制定医共体统一行政、财务、人事、医疗业务、药品耗材、绩效考核、信息化等管理工作方案，经医管委办公室审议通过后印发并落实。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3.牵头制定医共体内医保打包付费基金监督、预算、分配、考核相关工作方案报医管委办公室审议通过后印发并落实。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4.牵头建设医共体医疗信息互联互通平台，实行区域信息联网，数据互联互通资源共享。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5.牵头建立区域业务中心即远程会诊、远程心电、远程影像、检查检验、消毒供应等建设及实施，开展业务指导及管理工作;创建医共体内公共卫生、疾病预防、检查、治疗、康复相衔接的健康管理服务模式，逐步推行大健康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6.接受医共体成员单位上转的病人并及时处置，将术后、康复期病人下转至各苏木镇卫生院;提升医疗服务技术水平，控制旗外转诊率，负责旗外就医病人统一审批及双向转诊工作。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7.为成员单位提供进修培训、技术指导、业务学术交流、技术协作、双向转诊、签约服务以及新技术、新项目开展的指导工作;负责指导医共体内各成员单位开展单病种管理、DRP支付方式改革和临床路径管理等改革，规范医共体内诊疗，控制医疗费用不合理增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8.定期组织医共体日常推进工作，做好工作信息和数据的收集管理。对医共体推进情况作阶段性总结及分析，针对存在问题及时改进，完成医共体建设任务，逐步实现建设目标。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9.牵头实施好医共体建设宣传工作，及时总结工作亮点及工作经验逐级上报或推广宣传。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0"/>
          <w:sz w:val="32"/>
          <w:szCs w:val="32"/>
          <w:lang w:val="en-US" w:eastAsia="zh-CN"/>
        </w:rPr>
        <w:t>二、医共体分院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1.旗蒙医医院、旗妇幼保健计生服务中心及所有苏木镇卫生院（社区卫生服务中心）均为医共体分院，按照医共体管理制度，开展好医共体内相关工作，共同完成医共体建设目标和任务；按紧密型医共体建设规划，配合实施医共体内人、财、物集中统一管理，协作建立医共体工作机制及统一管理工作模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2.按照分级诊疗原则，承担辖区内常见病、多发病诊疗、公共卫生服务和慢性病管理。配合将慢性病管理下沉至乡村两级医疗卫生服务机构；执行分级诊疗制度和双向转诊制度，将无条件诊治的病人转诊至上级医院，并接受上级医院下转病人的康复诊疗及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3.选派人员到医共体县级医疗机构培训、进修，提升服务能力及水平;接受旗级单位下派人员工作指导及驻点帮扶。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4.参加旗级单位组织的各类培训。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5.按医共体建设规划，做好医共体信息化乡村两级的建设工作;进一步加强苏木镇、村一体化管理。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6.优化村医队伍，提高村医待遇，改善村医服务手段；配合旗级加强对村医的培训，做好家庭医生签约服务相关工作。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7.负责规范乡村两级医保基金管理；按时参加医共体各类会议，规范上报各类报表、数据、工作计划及工作总结。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0"/>
          <w:sz w:val="32"/>
          <w:szCs w:val="32"/>
          <w:lang w:val="en-US" w:eastAsia="zh-CN"/>
        </w:rPr>
        <w:t>三、村（嘎查）卫生室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1.辖区内村卫生室均为医共体统一管理对象，主要权责为配合做好医共体建设相关规划及管理工作，按时参加医共体组织的各类培训，接受医共体内工作指导及工作考核，规范诊疗。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2.规范上报各类工作报表、数据；强化村医与辖区内居民签约服务管理，通过签约服务和签约转诊，引导群众养成“有序就医、基层首诊、履约转诊”的习惯；以辖区内居民签约人数、签约转诊、履约情况和服务质量为核心指标进行绩效考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3.做好各项村医承担的基本公共卫生服务工作;做好常见病诊疗工作，规范诊疗行为及规范医保基金管理，控制诊疗平均费用不合理增长。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883" w:firstLineChars="200"/>
        <w:textAlignment w:val="auto"/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乌拉特后旗紧密型县域医共体</w:t>
      </w: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建设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209" w:firstLineChars="500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内部运行管理清单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为推进紧密型县域医共体建设，充分发挥牵头医院“龙头”作用，健全医共体内部管理体系，整体提高县域医疗卫生资源配置和使用效能，结合我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实际，制定本清单。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一、基本性质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1.法人地位。医共体牵头医院原则上应为二级以上（含二级）非营利性综合性医院，符合现代医院管理制度要求。医共体成员单位保留原有机构设置和机构名称。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sz w:val="32"/>
          <w:szCs w:val="32"/>
          <w:lang w:val="en-US" w:eastAsia="zh-CN"/>
        </w:rPr>
        <w:t>旗蒙医医院、旗妇幼保健计生服务中心及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镇卫生院加挂“分院”牌子，保留法人资格，法定代表人原则上由牵头医院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提名，旗医共体管委会办公室考核确定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2.功能定位。牵头医院强化能力建设，以县域内就诊（住院）率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0%左右为目标，承担县域内城乡居民医疗保健服务、基层技术指导帮扶、突发公共卫生事件应急处置等职能；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承担辖区内常见病多发病基本医疗、基本公共卫生服务职能和任务，做好双向转诊和下转病人康复服务，开展慢病管理；村卫生室着重做好门诊、导诊、签约服务和健康管理，以及疾病防控、健康教育等相关公共卫生工作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3.职工身份。成员单位职工身份不变，原有的财政供给渠道不变，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镇卫生院在编在岗人员工资由财政供给保障。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4.投入政策。成员单位资产属性和现行的财政投入政策及标准不变。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镇卫生院实行“事业一类保障、二类绩效管理”。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二、运营管理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5.统一行政管理。健全完善医共体章程，按照不同功能定位，履行职责。牵头医院对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镇卫生院实行一体化管理。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镇卫生院对村卫生室实行一体化管理。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6.统一人员管理。医共体拥有内部人事管理自主权，按照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制度实行编制统筹，岗位统筹，实行“县管乡用”“乡聘村用”，根据岗位需要，人员统一调配。牵头医院拥有对医共体内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镇卫生院院长任命权或推荐权。牵头医院拥有人员招聘和人才引进自主权。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7.统一财务管理。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镇卫生院财务实行由牵头医院统一管理、独立核算的管理制度。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镇卫生院长对本单位财务会计工作及会计资料的真实性、合法性负责。财政投入资金由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sz w:val="32"/>
          <w:szCs w:val="32"/>
        </w:rPr>
        <w:t>级卫生健康行政部门拨付，按规定的资金用途安排使用。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镇卫生院大额资金使用由牵头医院按规定审批。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8.统一绩效考核管理。按照统一的二类事业单位绩效考核原则，开展医共体内医疗机构绩效考核与分配。牵头医院负责指导、审定乡镇卫生院的绩效考核与分配方案，规范开展绩效考核。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9.统一医疗业务管理。牵头医院按照统一规章制度、统一技术规范、统一人员培训、统一业务指导、统一工作考核要求，对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镇卫生院的医疗、护理、检查检验、院内感染、公共卫生服务等业务，进行全面的质量控制和安全管理。医共体各成员单位建立严格转诊病种目录，加强转诊质量管理。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统一药械业务管理。牵头医院组建医共体中心药房，统一负责医共体药械采购配送和药事管理等，指导检查乡镇卫生院药事管理、合理用药等制度执行。医共体内统一用药范围、统一网上采购、统一集中配送、统一药款支付。全面配备，优先使用国家基本药物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11.统一医保基金管理。医共体牵头医院负责成员单位医保基金预算、拨付、考核、分配，配合做好不同医共体之间和县域外转诊病人费用结算，推进按病种付费等支付方式，防控欺诈骗保行为。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.统一信息系统。医共体内部基本医疗、公共卫生、运营管理等信息系统互联互通，逐步实现电子健康档案和电子病历的连续记录和信息共享，建立远程会诊和影像、心电等远程诊断中心，远程协作、资源共享。信息系统统一运营维护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5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乌拉特后旗紧密型县域医共体</w:t>
      </w: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建设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191919"/>
          <w:spacing w:val="0"/>
          <w:sz w:val="44"/>
          <w:szCs w:val="44"/>
        </w:rPr>
      </w:pP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191919"/>
          <w:spacing w:val="0"/>
          <w:sz w:val="44"/>
          <w:szCs w:val="44"/>
          <w:shd w:val="clear" w:fill="FFFFFF"/>
        </w:rPr>
        <w:t>外部治理综合监管清单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为推进紧密型县域医共体建设，依据政府对医疗卫生机构的管理责任和监督责任，结合实际，制定医共体外部治理综合监管清单。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一、公益性监管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1.医共体医疗机构功能定位履行情况。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2.政府指令性公共卫生任务执行情况。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3.县乡一体、乡村一体管理执行情况。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4.现代医院管理制度建设情况。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二、依法执业与行风监管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5.医共体医疗机构及其从业人员依法执业情况。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6.医务人员医德医风建设情况。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7.医疗卫生行业建设“九不准”等相关制度执行情况。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三、医疗质量和安全监管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8.按照医疗质量和安全管理制度，开展医疗服务质量控制和安全监管。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9.临床路径管理执行情况。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10.药品合理使用。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11.高值医用耗材合理使用。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12.大型设备使用监督评估。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四、医共体运行监管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13.审核医共体预决算执行情况，监管纳入财政管理的预算资金、上级项目资金、政府采购项目执行情况等。监管定期财务报告和内审制度执行情况。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14.医疗服务价格、医疗护理服务等信息公开公示制度执行情况。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15.医保基金使用情况、县域外支出占比情况，按病种付费和DR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P</w:t>
      </w:r>
      <w:r>
        <w:rPr>
          <w:rFonts w:hint="eastAsia" w:ascii="仿宋_GB2312" w:hAnsi="仿宋_GB2312" w:eastAsia="仿宋_GB2312" w:cs="仿宋_GB2312"/>
          <w:sz w:val="32"/>
          <w:szCs w:val="32"/>
        </w:rPr>
        <w:t>执行情况，监管欺诈骗保行为。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16.监管药品耗材设备采购，监控药品回扣等行为。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17.监测转诊病种的分级收治与双向转诊执行情况，监测群众满意度、县域内就诊率等指标。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五、医共体人事管理监管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18.执行公开招聘、人才引进、内设机构设置等事项核准备案制度。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19.医共体人事管理的事前事中事后过程监督管理。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六、公共卫生服务监管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20.基本公共卫生服务执行情况。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21.重大公共卫生服务项目执行情况。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22.基本公共卫生服务和重大公共卫生服务项目资金使用情况。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七、法律法规规章规定的其他监管事项。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 </w:t>
      </w: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6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880" w:firstLineChars="200"/>
        <w:textAlignment w:val="auto"/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乌拉特后旗紧密型县域医共体</w:t>
      </w:r>
      <w:r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建设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640" w:firstLineChars="600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实施成效评估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320" w:firstLineChars="300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为推进紧密型县域医共体建设，客观评估医共体在专家资源、医疗技术、药品保障、双向转诊、公卫服务等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个方面上下贯通的实施成效，有效缓解基层群众看病难看病贵问题，结合实际，制定本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清单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一、专家资源上下贯通评估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1.牵头医院根据基层医疗卫生机构业务需要，统一安排医务人员到体内基层医疗机构流动执业。组织医务人员定期到成员单位坐诊、巡诊，开展常规手术等。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2.牵头医院统筹安排基层医疗机构医务人员进修、学习。每年举办两期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常见</w:t>
      </w:r>
      <w:r>
        <w:rPr>
          <w:rFonts w:hint="eastAsia" w:ascii="仿宋_GB2312" w:hAnsi="仿宋_GB2312" w:eastAsia="仿宋_GB2312" w:cs="仿宋_GB2312"/>
          <w:sz w:val="32"/>
          <w:szCs w:val="32"/>
        </w:rPr>
        <w:t>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多发病病</w:t>
      </w:r>
      <w:r>
        <w:rPr>
          <w:rFonts w:hint="eastAsia" w:ascii="仿宋_GB2312" w:hAnsi="仿宋_GB2312" w:eastAsia="仿宋_GB2312" w:cs="仿宋_GB2312"/>
          <w:sz w:val="32"/>
          <w:szCs w:val="32"/>
        </w:rPr>
        <w:t>种诊断、鉴别诊断和临床诊疗技能培训班。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3.建立“1+1+1”工作机制，由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苏木镇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嘎查</w:t>
      </w:r>
      <w:r>
        <w:rPr>
          <w:rFonts w:hint="eastAsia" w:ascii="仿宋_GB2312" w:hAnsi="仿宋_GB2312" w:eastAsia="仿宋_GB2312" w:cs="仿宋_GB2312"/>
          <w:sz w:val="32"/>
          <w:szCs w:val="32"/>
        </w:rPr>
        <w:t>村三级医生组成家庭医生签约履约服务团队。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4.制定并落实考核激励措施。制定并落实医共体医疗服务收入结算与分配办法，下沉医务人员开展诊疗服务收入（扣除成本）合理切块用于牵头医院下沉医务人员的补助、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奖励；或将基层医疗机构业务增量部分的3-5%用于牵头医院下沉医务人员的补助、奖励。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二、医疗技术上下贯通评估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1.建立质量监控指标体系。完善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镇卫生院、村卫生室诊疗规范，开展质量控制，保障医疗服务质量。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镇卫生院具备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常见</w:t>
      </w:r>
      <w:r>
        <w:rPr>
          <w:rFonts w:hint="eastAsia" w:ascii="仿宋_GB2312" w:hAnsi="仿宋_GB2312" w:eastAsia="仿宋_GB2312" w:cs="仿宋_GB2312"/>
          <w:sz w:val="32"/>
          <w:szCs w:val="32"/>
        </w:rPr>
        <w:t>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多发病</w:t>
      </w:r>
      <w:r>
        <w:rPr>
          <w:rFonts w:hint="eastAsia" w:ascii="仿宋_GB2312" w:hAnsi="仿宋_GB2312" w:eastAsia="仿宋_GB2312" w:cs="仿宋_GB2312"/>
          <w:sz w:val="32"/>
          <w:szCs w:val="32"/>
        </w:rPr>
        <w:t>病种诊疗能力。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3.远程医疗全覆盖。牵头医院建立远程会诊、远程影像、远程心电中心，通过信息化手段补齐基层医疗机构医疗服务短板。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4.定期考核。定期对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镇卫生院医疗质量指标、适宜技术开展、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常见</w:t>
      </w:r>
      <w:r>
        <w:rPr>
          <w:rFonts w:hint="eastAsia" w:ascii="仿宋_GB2312" w:hAnsi="仿宋_GB2312" w:eastAsia="仿宋_GB2312" w:cs="仿宋_GB2312"/>
          <w:sz w:val="32"/>
          <w:szCs w:val="32"/>
        </w:rPr>
        <w:t>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和多发病</w:t>
      </w:r>
      <w:r>
        <w:rPr>
          <w:rFonts w:hint="eastAsia" w:ascii="仿宋_GB2312" w:hAnsi="仿宋_GB2312" w:eastAsia="仿宋_GB2312" w:cs="仿宋_GB2312"/>
          <w:sz w:val="32"/>
          <w:szCs w:val="32"/>
        </w:rPr>
        <w:t>病种救治能力等情况进行考核。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三、药械保障上下贯通评估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1.牵头医院医共体中心药房全覆盖，运转顺畅，并实现统一网上采购、统一集中配送、统一药款支付。全面配备，优先使用国家基本药物。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2.基层医疗机构药品配备满足需要。保障下沉专家开展工作有药可用，保障群众用药需求，确保人民群众用药安全、有效、经济、便捷。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3.各基层医疗卫生单位药房建设完善。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4.加强临床药事管理，定期开展处方点评。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四、双向转诊上下贯通评估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1.双向转诊通道畅通。医共体建立双向转诊绿色通道和转诊平台，转诊医院有专人跟踪负责，信息畅通。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2.各医疗卫生机构严格执行分级诊疗病种、常见病出入院标准和双向转诊标准。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3.取消下转病人二次住院的就医起付线收费。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4.双向转诊纳入绩效考核。平均住院日、三四类手术占比、下转率等指标纳入牵头医院绩效考核，上转病人跟踪负责纳入对乡镇卫生院责任人绩效考核。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、公卫服务上下贯通评估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专业公共卫生机构参与医共体建设。划分责任区域，分片包干，指导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苏木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镇卫生院开展公共卫生服务。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2.实施基本公共卫生服务“两卡制”，定期开展绩效评价。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3.高血压、II型糖尿病等慢病管理规范。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7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420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紧密型县域医疗卫生共同体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420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主要任务分解表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420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5"/>
        <w:gridCol w:w="2868"/>
        <w:gridCol w:w="1053"/>
        <w:gridCol w:w="2385"/>
        <w:gridCol w:w="1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6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42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  <w:t>工作任务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  <w:t>责任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  <w:t>单位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42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  <w:t>配合单位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  <w:t>任务要求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0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制定实施办法，建立部门协调的紧密型县域医共体推进机制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卫健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委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42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各成员单位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任务年度内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1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2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打包区域点数法总额预算和按病种分值付费（DIP）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医保局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财政局、卫生健康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委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、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42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医共体牵头医院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任务年度内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3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3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打包基本公共卫生服务经费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财政局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卫生健康</w:t>
            </w:r>
            <w:bookmarkStart w:id="0" w:name="_GoBack"/>
            <w:bookmarkEnd w:id="0"/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任务年度内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4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定期对医共体实施进度及成效进行评估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卫健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委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财政局、医保局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持续改进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5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落实紧密型医共体政府办医责任清单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卫健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委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委编办、发改局、财政局、人社局、医保局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任务年度内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6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落实紧密型医共体内部运行管理清单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医共体牵头医院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卫生健康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委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、财政、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42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医保局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持续改进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7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落实紧密型医共体外部治理综合监管清单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卫健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委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财政、医保局，医共体牵头医院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持续改进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2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8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落实专家资源在医共体内部上下贯通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卫健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委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财政、医保，医共体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42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牵头医院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持续改进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9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落实紧密型医共体内部医疗技术上下贯通工作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卫健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委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42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医共体牵头医院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持续改进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8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10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保障紧密型医共体内部药械上下贯通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医保局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卫生健康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委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、医共体牵头医院、市监局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持续改进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3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11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制定差异化医保补偿政策，开展支付方式改革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医保局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卫生健康局、医共体牵头医院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持续改进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3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12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贯通紧密型医共体内双向转诊通道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卫健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委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医保局、医共体牵头医院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持续改进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13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制定医防融合方案，贯通公卫服务工作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卫健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委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医共体牵头医院、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级卫生机构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持续改进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9" w:hRule="atLeast"/>
          <w:jc w:val="center"/>
        </w:trPr>
        <w:tc>
          <w:tcPr>
            <w:tcW w:w="5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14</w:t>
            </w:r>
          </w:p>
        </w:tc>
        <w:tc>
          <w:tcPr>
            <w:tcW w:w="2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落实医保基金、基本公共卫生资金使用情况审计监督</w:t>
            </w:r>
          </w:p>
        </w:tc>
        <w:tc>
          <w:tcPr>
            <w:tcW w:w="10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审计局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医保局、财政局、卫生健康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委</w:t>
            </w:r>
          </w:p>
        </w:tc>
        <w:tc>
          <w:tcPr>
            <w:tcW w:w="14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持续改进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191919"/>
          <w:spacing w:val="0"/>
          <w:sz w:val="44"/>
          <w:szCs w:val="44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191919"/>
          <w:spacing w:val="0"/>
          <w:sz w:val="44"/>
          <w:szCs w:val="44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191919"/>
          <w:spacing w:val="0"/>
          <w:sz w:val="44"/>
          <w:szCs w:val="44"/>
          <w:shd w:val="clear" w:fill="FFFFFF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3E3B72"/>
    <w:rsid w:val="585C583B"/>
    <w:rsid w:val="5BBE6A6F"/>
    <w:rsid w:val="7194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2023-08-26T09:47:35Z</dcterms:created>
  <dc:creator>Administrator</dc:creator>
  <cp:lastModifiedBy>Administrator</cp:lastModifiedBy>
  <dcterms:modified xsi:type="dcterms:W3CDTF">2023-08-26T11:13:36Z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