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pStyle w:val="4"/>
        <w:pageBreakBefore w:val="0"/>
        <w:widowControl w:val="0"/>
        <w:kinsoku/>
        <w:wordWrap/>
        <w:overflowPunct/>
        <w:topLinePunct w:val="0"/>
        <w:autoSpaceDE/>
        <w:autoSpaceDN/>
        <w:bidi w:val="0"/>
        <w:adjustRightInd/>
        <w:snapToGrid/>
        <w:spacing w:before="0" w:after="0" w:line="580" w:lineRule="exact"/>
        <w:jc w:val="center"/>
        <w:textAlignment w:val="auto"/>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乌拉特中旗</w:t>
      </w: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工程建设项目审批事项</w:t>
      </w:r>
    </w:p>
    <w:p>
      <w:pPr>
        <w:pStyle w:val="4"/>
        <w:pageBreakBefore w:val="0"/>
        <w:widowControl w:val="0"/>
        <w:kinsoku/>
        <w:wordWrap/>
        <w:overflowPunct/>
        <w:topLinePunct w:val="0"/>
        <w:autoSpaceDE/>
        <w:autoSpaceDN/>
        <w:bidi w:val="0"/>
        <w:adjustRightInd/>
        <w:snapToGrid/>
        <w:spacing w:before="0" w:after="0" w:line="580" w:lineRule="exact"/>
        <w:jc w:val="center"/>
        <w:textAlignment w:val="auto"/>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办事指南</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事项名称</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政府投资项目建议书审批</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事项类别</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其他行政权力</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受理条件</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申请材料齐全、真实有效，形式符合相关要求。</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设定依据</w:t>
      </w:r>
    </w:p>
    <w:p>
      <w:pPr>
        <w:suppressAutoHyphens/>
        <w:bidi w:val="0"/>
        <w:ind w:firstLine="640" w:firstLineChars="200"/>
        <w:rPr>
          <w:rFonts w:hint="eastAsia" w:ascii="仿宋_GB2312" w:hAnsi="宋体" w:eastAsia="仿宋_GB2312" w:cs="宋体"/>
          <w:color w:val="000000" w:themeColor="text1"/>
          <w:kern w:val="0"/>
          <w:sz w:val="32"/>
          <w:szCs w:val="32"/>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《政府投资条例》（国务院令第712号）第九条</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 xml:space="preserve"> </w:t>
      </w: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政府采取直接投资方式、资本金注入方式投资的项目（以下统称政府投资项目），项目单位应当编制项目建议书、可行性研究报告、初步设计，按照政府投资管理权限和规定的程序，报投资主管部门或者其他有关部门审批。</w:t>
      </w:r>
    </w:p>
    <w:p>
      <w:pPr>
        <w:suppressAutoHyphens/>
        <w:bidi w:val="0"/>
        <w:ind w:firstLine="640" w:firstLineChars="200"/>
        <w:rPr>
          <w:rFonts w:hint="eastAsia" w:ascii="仿宋_GB2312" w:hAnsi="宋体" w:eastAsia="仿宋_GB2312" w:cs="宋体"/>
          <w:color w:val="000000" w:themeColor="text1"/>
          <w:kern w:val="0"/>
          <w:sz w:val="32"/>
          <w:szCs w:val="32"/>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国家发改委《中央预算内直接投资项目管理办法》（2014年第7号令）第三条 直接投资项目实行审批制，包括审批项目建议书、可行性研究报告、初步设计。</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default" w:ascii="黑体" w:hAnsi="黑体" w:eastAsia="黑体" w:cs="宋体"/>
          <w:color w:val="000000" w:themeColor="text1"/>
          <w:kern w:val="0"/>
          <w:sz w:val="32"/>
          <w:szCs w:val="32"/>
          <w:lang w:val="en-US" w:eastAsia="zh-Hans"/>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审批层级</w:t>
      </w:r>
    </w:p>
    <w:p>
      <w:pPr>
        <w:suppressAutoHyphens/>
        <w:bidi w:val="0"/>
        <w:ind w:firstLine="640" w:firstLineChars="200"/>
        <w:rPr>
          <w:rFonts w:hint="default" w:ascii="仿宋_GB2312" w:hAnsi="宋体" w:eastAsia="仿宋_GB2312" w:cs="宋体"/>
          <w:color w:val="000000" w:themeColor="text1"/>
          <w:kern w:val="0"/>
          <w:sz w:val="32"/>
          <w:szCs w:val="32"/>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盟市/旗县级</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Hans"/>
          <w14:textFill>
            <w14:solidFill>
              <w14:schemeClr w14:val="tx1"/>
            </w14:solidFill>
          </w14:textFill>
        </w:rPr>
      </w:pPr>
      <w:r>
        <w:rPr>
          <w:rFonts w:hint="eastAsia" w:ascii="黑体" w:hAnsi="黑体" w:eastAsia="黑体" w:cs="宋体"/>
          <w:color w:val="000000" w:themeColor="text1"/>
          <w:kern w:val="0"/>
          <w:sz w:val="32"/>
          <w:szCs w:val="32"/>
          <w:lang w:val="en-US" w:eastAsia="zh-Hans"/>
          <w14:textFill>
            <w14:solidFill>
              <w14:schemeClr w14:val="tx1"/>
            </w14:solidFill>
          </w14:textFill>
        </w:rPr>
        <w:t>办理情形与申请材料</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1.</w:t>
      </w: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项目建议书审批申请文件</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w:t>
      </w: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项目建议书</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文本</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Hans"/>
          <w14:textFill>
            <w14:solidFill>
              <w14:schemeClr w14:val="tx1"/>
            </w14:solidFill>
          </w14:textFill>
        </w:rPr>
      </w:pPr>
      <w:r>
        <w:rPr>
          <w:rFonts w:hint="eastAsia" w:ascii="黑体" w:hAnsi="黑体" w:eastAsia="黑体" w:cs="宋体"/>
          <w:color w:val="000000" w:themeColor="text1"/>
          <w:kern w:val="0"/>
          <w:sz w:val="32"/>
          <w:szCs w:val="32"/>
          <w:lang w:val="en-US" w:eastAsia="zh-Hans"/>
          <w14:textFill>
            <w14:solidFill>
              <w14:schemeClr w14:val="tx1"/>
            </w14:solidFill>
          </w14:textFill>
        </w:rPr>
        <w:t>办理流程</w:t>
      </w:r>
      <w:r>
        <w:rPr>
          <w:rFonts w:hint="eastAsia" w:ascii="黑体" w:hAnsi="黑体" w:eastAsia="黑体" w:cs="宋体"/>
          <w:color w:val="000000" w:themeColor="text1"/>
          <w:kern w:val="0"/>
          <w:sz w:val="32"/>
          <w:szCs w:val="32"/>
          <w:lang w:val="en-US" w:eastAsia="zh-CN"/>
          <w14:textFill>
            <w14:solidFill>
              <w14:schemeClr w14:val="tx1"/>
            </w14:solidFill>
          </w14:textFill>
        </w:rPr>
        <w:t>图</w:t>
      </w:r>
    </w:p>
    <w:p>
      <w:pPr>
        <w:ind w:firstLine="640" w:firstLineChars="200"/>
        <w:rPr>
          <w:color w:val="000000" w:themeColor="text1"/>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申请人提出申请（提交</w:t>
      </w:r>
      <w:r>
        <w:rPr>
          <w:rFonts w:ascii="仿宋_GB2312" w:hAnsi="宋体" w:eastAsia="仿宋_GB2312" w:cs="宋体"/>
          <w:color w:val="000000" w:themeColor="text1"/>
          <w:kern w:val="0"/>
          <w:sz w:val="32"/>
          <w:szCs w:val="32"/>
          <w14:textFill>
            <w14:solidFill>
              <w14:schemeClr w14:val="tx1"/>
            </w14:solidFill>
          </w14:textFill>
        </w:rPr>
        <w:t>相关材料）</w:t>
      </w:r>
      <w:r>
        <w:rPr>
          <w:rFonts w:hint="eastAsia" w:ascii="仿宋_GB2312" w:hAnsi="宋体" w:eastAsia="仿宋_GB2312" w:cs="宋体"/>
          <w:color w:val="000000" w:themeColor="text1"/>
          <w:kern w:val="0"/>
          <w:sz w:val="32"/>
          <w:szCs w:val="32"/>
          <w14:textFill>
            <w14:solidFill>
              <w14:schemeClr w14:val="tx1"/>
            </w14:solidFill>
          </w14:textFill>
        </w:rPr>
        <w:t>→自然资源部门</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受理</w:t>
      </w:r>
      <w:r>
        <w:rPr>
          <w:rFonts w:hint="eastAsia" w:ascii="仿宋_GB2312" w:hAnsi="宋体" w:eastAsia="仿宋_GB2312" w:cs="宋体"/>
          <w:color w:val="000000" w:themeColor="text1"/>
          <w:kern w:val="0"/>
          <w:sz w:val="32"/>
          <w:szCs w:val="32"/>
          <w14:textFill>
            <w14:solidFill>
              <w14:schemeClr w14:val="tx1"/>
            </w14:solidFill>
          </w14:textFill>
        </w:rPr>
        <w:t>→</w:t>
      </w:r>
      <w:r>
        <w:rPr>
          <w:rFonts w:hint="eastAsia" w:ascii="仿宋_GB2312" w:hAnsi="宋体" w:eastAsia="仿宋_GB2312" w:cs="宋体"/>
          <w:color w:val="000000" w:themeColor="text1"/>
          <w:kern w:val="0"/>
          <w:sz w:val="32"/>
          <w:szCs w:val="32"/>
          <w:highlight w:val="none"/>
          <w:lang w:eastAsia="zh-CN"/>
          <w14:textFill>
            <w14:solidFill>
              <w14:schemeClr w14:val="tx1"/>
            </w14:solidFill>
          </w14:textFill>
        </w:rPr>
        <w:t>组织相关专家对报告是否符合国家和自治区相关节能审查要求进行审查，并出具专家评审意见→起草审查意见并报委领导复核审查→</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制发文件</w:t>
      </w:r>
      <w:r>
        <w:rPr>
          <w:rFonts w:ascii="仿宋_GB2312" w:hAnsi="宋体" w:eastAsia="仿宋_GB2312" w:cs="宋体"/>
          <w:color w:val="000000" w:themeColor="text1"/>
          <w:kern w:val="0"/>
          <w:sz w:val="32"/>
          <w:szCs w:val="32"/>
          <w14:textFill>
            <w14:solidFill>
              <w14:schemeClr w14:val="tx1"/>
            </w14:solidFill>
          </w14:textFill>
        </w:rPr>
        <w:t>。</w:t>
      </w:r>
    </w:p>
    <w:p>
      <w:pPr>
        <w:rPr>
          <w:rFonts w:hint="default" w:ascii="仿宋_GB2312" w:hAnsi="宋体" w:eastAsia="仿宋_GB2312" w:cs="宋体"/>
          <w:color w:val="000000" w:themeColor="text1"/>
          <w:kern w:val="0"/>
          <w:sz w:val="32"/>
          <w:szCs w:val="32"/>
          <w:lang w:val="en-US" w:eastAsia="zh-Hans"/>
          <w14:textFill>
            <w14:solidFill>
              <w14:schemeClr w14:val="tx1"/>
            </w14:solidFill>
          </w14:textFill>
        </w:rPr>
      </w:pPr>
      <w:r>
        <w:rPr>
          <w:color w:val="000000" w:themeColor="text1"/>
          <w14:textFill>
            <w14:solidFill>
              <w14:schemeClr w14:val="tx1"/>
            </w14:solidFill>
          </w14:textFill>
        </w:rPr>
        <w:drawing>
          <wp:inline distT="0" distB="0" distL="114300" distR="114300">
            <wp:extent cx="5272405" cy="3388360"/>
            <wp:effectExtent l="9525" t="9525" r="1397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2405" cy="3388360"/>
                    </a:xfrm>
                    <a:prstGeom prst="rect">
                      <a:avLst/>
                    </a:prstGeom>
                    <a:noFill/>
                    <a:ln w="9525" cap="flat" cmpd="sng">
                      <a:solidFill>
                        <a:srgbClr val="D9D9D9"/>
                      </a:solidFill>
                      <a:prstDash val="solid"/>
                      <a:miter/>
                      <a:headEnd type="none" w="med" len="med"/>
                      <a:tailEnd type="none" w="med" len="med"/>
                    </a:ln>
                  </pic:spPr>
                </pic:pic>
              </a:graphicData>
            </a:graphic>
          </wp:inline>
        </w:drawing>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办件类型</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承诺件</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法定时限</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20个工作日</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承诺时限</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2个工作日</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办理地点</w:t>
      </w:r>
    </w:p>
    <w:p>
      <w:pPr>
        <w:suppressAutoHyphens/>
        <w:bidi w:val="0"/>
        <w:ind w:firstLine="42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  </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（线上）内蒙古自治区政务服务网或内蒙古自治区投资项目在线审批办事大厅nmg.tzxm.gov.cn</w:t>
      </w:r>
    </w:p>
    <w:p>
      <w:pPr>
        <w:suppressAutoHyphens/>
        <w:bidi w:val="0"/>
        <w:ind w:firstLine="640" w:firstLineChars="200"/>
        <w:rPr>
          <w:rFonts w:hint="default"/>
          <w:color w:val="000000" w:themeColor="text1"/>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（线下）政务服务大厅工程建设项目审批综合窗口</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办理机构</w:t>
      </w:r>
    </w:p>
    <w:p>
      <w:pPr>
        <w:suppressAutoHyphens/>
        <w:bidi w:val="0"/>
        <w:ind w:firstLine="420" w:firstLineChars="20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  </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乌拉特中旗发展和改革委员会</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收费标准</w:t>
      </w:r>
    </w:p>
    <w:p>
      <w:pPr>
        <w:ind w:firstLine="640" w:firstLineChars="200"/>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不收费</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咨询方式</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各级政务服务大厅工程建设项目审批综合窗口或拨打12345热线咨询</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办理进程、结果查询途径</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线上查询：</w:t>
      </w:r>
      <w:bookmarkStart w:id="0" w:name="_GoBack"/>
      <w:bookmarkEnd w:id="0"/>
      <w:r>
        <w:rPr>
          <w:rFonts w:hint="eastAsia" w:ascii="仿宋_GB2312" w:hAnsi="宋体" w:eastAsia="仿宋_GB2312" w:cs="宋体"/>
          <w:color w:val="000000" w:themeColor="text1"/>
          <w:kern w:val="0"/>
          <w:sz w:val="32"/>
          <w:szCs w:val="32"/>
          <w:lang w:val="en-US" w:eastAsia="zh-CN"/>
          <w14:textFill>
            <w14:solidFill>
              <w14:schemeClr w14:val="tx1"/>
            </w14:solidFill>
          </w14:textFill>
        </w:rPr>
        <w:t>工程建设项目审批管理系统</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监督投诉方式</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内蒙古一体化在线政务服务平台内投诉或拨打12345热线投诉</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行政相对人权利和义务</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行政相对人权利和义务由《中华人民共和国行政许可法》《中华人民共和国行政复议法》《中华人民共和国行政诉讼法》等法律法规规定。</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（一）符合法定条件、标准的，申请人有依法取得行政许可的平等权利，行政机关不得歧视。</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（二）行政机关依法未予审批或确认的，应书面决定说明理由，并告知申请人享有依法申请行政复议或者提起行政诉讼的权利。</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（三）申请材料不齐全或者不符合法定形式的，行政机关应要求申请人补充完善；申请材料严重不符合要求的，行政机关应退回重报。</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（四）申请人申请时应当如实向行政机关提交有关材料和反映真实情况，并对其申请材料实质内容的真实性负责。</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Hans"/>
          <w14:textFill>
            <w14:solidFill>
              <w14:schemeClr w14:val="tx1"/>
            </w14:solidFill>
          </w14:textFill>
        </w:rPr>
        <w:t>申请样表及结果</w:t>
      </w:r>
      <w:r>
        <w:rPr>
          <w:rFonts w:hint="eastAsia" w:ascii="黑体" w:hAnsi="黑体" w:eastAsia="黑体" w:cs="宋体"/>
          <w:color w:val="000000" w:themeColor="text1"/>
          <w:kern w:val="0"/>
          <w:sz w:val="32"/>
          <w:szCs w:val="32"/>
          <w:lang w:val="en-US" w:eastAsia="zh-CN"/>
          <w14:textFill>
            <w14:solidFill>
              <w14:schemeClr w14:val="tx1"/>
            </w14:solidFill>
          </w14:textFill>
        </w:rPr>
        <w:t>样本</w:t>
      </w:r>
    </w:p>
    <w:p>
      <w:pPr>
        <w:numPr>
          <w:ilvl w:val="0"/>
          <w:numId w:val="2"/>
        </w:num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 w:hAnsi="仿宋" w:eastAsia="仿宋" w:cs="仿宋"/>
          <w:b w:val="0"/>
          <w:color w:val="000000" w:themeColor="text1"/>
          <w:kern w:val="2"/>
          <w:sz w:val="32"/>
          <w:szCs w:val="32"/>
          <w:lang w:val="en-US" w:eastAsia="zh-CN" w:bidi="ar-SA"/>
          <w14:textFill>
            <w14:solidFill>
              <w14:schemeClr w14:val="tx1"/>
            </w14:solidFill>
          </w14:textFill>
        </w:rPr>
        <w:t>关于</w:t>
      </w:r>
      <w:r>
        <w:rPr>
          <w:rFonts w:hint="default" w:ascii="仿宋" w:hAnsi="仿宋" w:eastAsia="仿宋" w:cs="仿宋"/>
          <w:b w:val="0"/>
          <w:color w:val="000000" w:themeColor="text1"/>
          <w:kern w:val="2"/>
          <w:sz w:val="32"/>
          <w:szCs w:val="32"/>
          <w:lang w:val="en-US" w:eastAsia="zh-Hans" w:bidi="ar-SA"/>
          <w14:textFill>
            <w14:solidFill>
              <w14:schemeClr w14:val="tx1"/>
            </w14:solidFill>
          </w14:textFill>
        </w:rPr>
        <w:t>××项目</w:t>
      </w:r>
      <w:r>
        <w:rPr>
          <w:rFonts w:hint="eastAsia" w:ascii="仿宋" w:hAnsi="仿宋" w:eastAsia="仿宋" w:cs="仿宋"/>
          <w:b w:val="0"/>
          <w:color w:val="000000" w:themeColor="text1"/>
          <w:kern w:val="2"/>
          <w:sz w:val="32"/>
          <w:szCs w:val="32"/>
          <w:lang w:val="en-US" w:eastAsia="zh-CN" w:bidi="ar-SA"/>
          <w14:textFill>
            <w14:solidFill>
              <w14:schemeClr w14:val="tx1"/>
            </w14:solidFill>
          </w14:textFill>
        </w:rPr>
        <w:t>建议书的</w:t>
      </w:r>
      <w:r>
        <w:rPr>
          <w:rFonts w:hint="default" w:ascii="仿宋" w:hAnsi="仿宋" w:eastAsia="仿宋" w:cs="仿宋"/>
          <w:b w:val="0"/>
          <w:color w:val="000000" w:themeColor="text1"/>
          <w:kern w:val="2"/>
          <w:sz w:val="32"/>
          <w:szCs w:val="32"/>
          <w:lang w:val="en-US" w:eastAsia="zh-Hans" w:bidi="ar-SA"/>
          <w14:textFill>
            <w14:solidFill>
              <w14:schemeClr w14:val="tx1"/>
            </w14:solidFill>
          </w14:textFill>
        </w:rPr>
        <w:t>批复</w:t>
      </w:r>
    </w:p>
    <w:p>
      <w:pPr>
        <w:pStyle w:val="2"/>
        <w:numPr>
          <w:ilvl w:val="0"/>
          <w:numId w:val="0"/>
        </w:numPr>
        <w:jc w:val="left"/>
        <w:rPr>
          <w:rFonts w:hint="eastAsia" w:ascii="仿宋_GB2312" w:hAnsi="宋体" w:eastAsia="仿宋_GB2312" w:cs="宋体"/>
          <w:color w:val="000000" w:themeColor="text1"/>
          <w:kern w:val="0"/>
          <w:sz w:val="32"/>
          <w:szCs w:val="32"/>
          <w:lang w:eastAsia="zh-CN"/>
          <w14:textFill>
            <w14:solidFill>
              <w14:schemeClr w14:val="tx1"/>
            </w14:solidFill>
          </w14:textFill>
        </w:rPr>
      </w:pPr>
      <w:r>
        <w:rPr>
          <w:rFonts w:hint="eastAsia" w:ascii="仿宋_GB2312" w:hAnsi="宋体" w:eastAsia="仿宋_GB2312" w:cs="宋体"/>
          <w:color w:val="000000" w:themeColor="text1"/>
          <w:kern w:val="0"/>
          <w:sz w:val="32"/>
          <w:szCs w:val="32"/>
          <w:lang w:eastAsia="zh-CN"/>
          <w14:textFill>
            <w14:solidFill>
              <w14:schemeClr w14:val="tx1"/>
            </w14:solidFill>
          </w14:textFill>
        </w:rPr>
        <w:drawing>
          <wp:inline distT="0" distB="0" distL="114300" distR="114300">
            <wp:extent cx="5273040" cy="4794250"/>
            <wp:effectExtent l="0" t="0" r="3810" b="6350"/>
            <wp:docPr id="3" name="图片 3" descr="294182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94182669"/>
                    <pic:cNvPicPr>
                      <a:picLocks noChangeAspect="1"/>
                    </pic:cNvPicPr>
                  </pic:nvPicPr>
                  <pic:blipFill>
                    <a:blip r:embed="rId5"/>
                    <a:srcRect t="12350"/>
                    <a:stretch>
                      <a:fillRect/>
                    </a:stretch>
                  </pic:blipFill>
                  <pic:spPr>
                    <a:xfrm>
                      <a:off x="0" y="0"/>
                      <a:ext cx="5273040" cy="479425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7EC194"/>
    <w:multiLevelType w:val="singleLevel"/>
    <w:tmpl w:val="FB7EC194"/>
    <w:lvl w:ilvl="0" w:tentative="0">
      <w:start w:val="1"/>
      <w:numFmt w:val="chineseCounting"/>
      <w:suff w:val="nothing"/>
      <w:lvlText w:val="%1、"/>
      <w:lvlJc w:val="left"/>
      <w:rPr>
        <w:rFonts w:hint="eastAsia"/>
      </w:rPr>
    </w:lvl>
  </w:abstractNum>
  <w:abstractNum w:abstractNumId="1">
    <w:nsid w:val="1CBFDDEB"/>
    <w:multiLevelType w:val="singleLevel"/>
    <w:tmpl w:val="1CBFDDEB"/>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E0MDMxYThiMzQzODdiYzI5ODExNDM0ZTNlYmRiZGEifQ=="/>
  </w:docVars>
  <w:rsids>
    <w:rsidRoot w:val="003A338A"/>
    <w:rsid w:val="003A338A"/>
    <w:rsid w:val="005813F5"/>
    <w:rsid w:val="00C72E30"/>
    <w:rsid w:val="00D029DA"/>
    <w:rsid w:val="151970DF"/>
    <w:rsid w:val="1C996088"/>
    <w:rsid w:val="1DE02B73"/>
    <w:rsid w:val="1EF516DB"/>
    <w:rsid w:val="23FC6907"/>
    <w:rsid w:val="276C4B37"/>
    <w:rsid w:val="28A9373A"/>
    <w:rsid w:val="32CE6B16"/>
    <w:rsid w:val="369E2CA4"/>
    <w:rsid w:val="394053A4"/>
    <w:rsid w:val="39AA8D50"/>
    <w:rsid w:val="3C035F1A"/>
    <w:rsid w:val="3F13327D"/>
    <w:rsid w:val="3FC57812"/>
    <w:rsid w:val="3FF00DFF"/>
    <w:rsid w:val="3FFFE313"/>
    <w:rsid w:val="4575459F"/>
    <w:rsid w:val="46F93E90"/>
    <w:rsid w:val="49597F15"/>
    <w:rsid w:val="4A410163"/>
    <w:rsid w:val="4F041DE6"/>
    <w:rsid w:val="4F406BD9"/>
    <w:rsid w:val="582F64ED"/>
    <w:rsid w:val="5F6873FE"/>
    <w:rsid w:val="6495108A"/>
    <w:rsid w:val="6F7A27AB"/>
    <w:rsid w:val="71173068"/>
    <w:rsid w:val="75BDBACA"/>
    <w:rsid w:val="76FF6344"/>
    <w:rsid w:val="7B421186"/>
    <w:rsid w:val="7DD05CB1"/>
    <w:rsid w:val="7E0E4A8D"/>
    <w:rsid w:val="7F3F0466"/>
    <w:rsid w:val="ECF32E1D"/>
    <w:rsid w:val="FBBEB274"/>
    <w:rsid w:val="FC998EF9"/>
    <w:rsid w:val="FDD2DF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11"/>
    <w:autoRedefine/>
    <w:qFormat/>
    <w:uiPriority w:val="9"/>
    <w:pPr>
      <w:keepNext/>
      <w:keepLines/>
      <w:spacing w:before="340" w:after="330" w:line="578" w:lineRule="auto"/>
      <w:outlineLvl w:val="0"/>
    </w:pPr>
    <w:rPr>
      <w:b/>
      <w:bCs/>
      <w:kern w:val="44"/>
      <w:sz w:val="44"/>
      <w:szCs w:val="44"/>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unhideWhenUsed/>
    <w:qFormat/>
    <w:uiPriority w:val="99"/>
    <w:pPr>
      <w:spacing w:after="120"/>
      <w:ind w:left="420" w:leftChars="200"/>
    </w:pPr>
  </w:style>
  <w:style w:type="paragraph" w:styleId="5">
    <w:name w:val="footer"/>
    <w:basedOn w:val="1"/>
    <w:link w:val="10"/>
    <w:unhideWhenUsed/>
    <w:qFormat/>
    <w:uiPriority w:val="99"/>
    <w:pPr>
      <w:tabs>
        <w:tab w:val="center" w:pos="4153"/>
        <w:tab w:val="right" w:pos="8306"/>
      </w:tabs>
      <w:snapToGrid w:val="0"/>
      <w:jc w:val="left"/>
    </w:pPr>
    <w:rPr>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字符"/>
    <w:basedOn w:val="8"/>
    <w:link w:val="6"/>
    <w:autoRedefine/>
    <w:qFormat/>
    <w:uiPriority w:val="99"/>
    <w:rPr>
      <w:sz w:val="18"/>
      <w:szCs w:val="18"/>
    </w:rPr>
  </w:style>
  <w:style w:type="character" w:customStyle="1" w:styleId="10">
    <w:name w:val="页脚 字符"/>
    <w:basedOn w:val="8"/>
    <w:link w:val="5"/>
    <w:autoRedefine/>
    <w:qFormat/>
    <w:uiPriority w:val="99"/>
    <w:rPr>
      <w:sz w:val="18"/>
      <w:szCs w:val="18"/>
    </w:rPr>
  </w:style>
  <w:style w:type="character" w:customStyle="1" w:styleId="11">
    <w:name w:val="标题 1 字符"/>
    <w:basedOn w:val="8"/>
    <w:link w:val="4"/>
    <w:qFormat/>
    <w:uiPriority w:val="9"/>
    <w:rPr>
      <w:b/>
      <w:bCs/>
      <w:kern w:val="44"/>
      <w:sz w:val="44"/>
      <w:szCs w:val="44"/>
    </w:rPr>
  </w:style>
  <w:style w:type="paragraph" w:customStyle="1" w:styleId="12">
    <w:name w:val="正文文本缩进 21"/>
    <w:basedOn w:val="1"/>
    <w:qFormat/>
    <w:uiPriority w:val="0"/>
    <w:pPr>
      <w:spacing w:line="480" w:lineRule="auto"/>
      <w:ind w:left="200" w:left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893</Words>
  <Characters>924</Characters>
  <Lines>36</Lines>
  <Paragraphs>10</Paragraphs>
  <TotalTime>1</TotalTime>
  <ScaleCrop>false</ScaleCrop>
  <LinksUpToDate>false</LinksUpToDate>
  <CharactersWithSpaces>930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2022-03-10T03:04:00Z</dcterms:created>
  <dc:creator>格日乐:起草</dc:creator>
  <cp:lastModifiedBy>王国全</cp:lastModifiedBy>
  <dcterms:modified xsi:type="dcterms:W3CDTF">2024-05-21T00:36:51Z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43C61864789C484490210A0BA5EA7A7F</vt:lpwstr>
  </property>
</Properties>
</file>