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45DC3E">
      <w:pPr>
        <w:pageBreakBefore w:val="0"/>
        <w:kinsoku/>
        <w:wordWrap/>
        <w:overflowPunct/>
        <w:topLinePunct w:val="0"/>
        <w:autoSpaceDE/>
        <w:autoSpaceDN/>
        <w:bidi w:val="0"/>
        <w:spacing w:line="560" w:lineRule="exact"/>
        <w:jc w:val="center"/>
        <w:rPr>
          <w:rFonts w:ascii="宋体" w:hAnsi="宋体"/>
          <w:color w:val="auto"/>
          <w:sz w:val="24"/>
          <w:u w:val="none"/>
        </w:rPr>
      </w:pPr>
    </w:p>
    <w:p w14:paraId="781F0199">
      <w:pPr>
        <w:pageBreakBefore w:val="0"/>
        <w:kinsoku/>
        <w:wordWrap/>
        <w:overflowPunct/>
        <w:topLinePunct w:val="0"/>
        <w:autoSpaceDE/>
        <w:autoSpaceDN/>
        <w:bidi w:val="0"/>
        <w:spacing w:line="560" w:lineRule="exact"/>
        <w:jc w:val="center"/>
        <w:rPr>
          <w:rFonts w:ascii="宋体" w:hAnsi="宋体"/>
          <w:color w:val="auto"/>
          <w:sz w:val="24"/>
          <w:u w:val="none"/>
        </w:rPr>
      </w:pPr>
    </w:p>
    <w:p w14:paraId="588D4AEF">
      <w:pPr>
        <w:pageBreakBefore w:val="0"/>
        <w:kinsoku/>
        <w:wordWrap/>
        <w:overflowPunct/>
        <w:topLinePunct w:val="0"/>
        <w:autoSpaceDE/>
        <w:autoSpaceDN/>
        <w:bidi w:val="0"/>
        <w:spacing w:line="560" w:lineRule="exact"/>
        <w:jc w:val="center"/>
        <w:rPr>
          <w:rFonts w:ascii="宋体" w:hAnsi="宋体"/>
          <w:color w:val="auto"/>
          <w:sz w:val="24"/>
          <w:u w:val="none"/>
        </w:rPr>
      </w:pPr>
    </w:p>
    <w:p w14:paraId="3F809282">
      <w:pPr>
        <w:pageBreakBefore w:val="0"/>
        <w:kinsoku/>
        <w:wordWrap/>
        <w:overflowPunct/>
        <w:topLinePunct w:val="0"/>
        <w:autoSpaceDE/>
        <w:autoSpaceDN/>
        <w:bidi w:val="0"/>
        <w:spacing w:line="560" w:lineRule="exact"/>
        <w:jc w:val="center"/>
        <w:rPr>
          <w:rFonts w:ascii="宋体" w:hAnsi="宋体"/>
          <w:color w:val="auto"/>
          <w:sz w:val="24"/>
          <w:u w:val="none"/>
        </w:rPr>
      </w:pPr>
    </w:p>
    <w:p w14:paraId="42815D58">
      <w:pPr>
        <w:pageBreakBefore w:val="0"/>
        <w:kinsoku/>
        <w:wordWrap/>
        <w:overflowPunct/>
        <w:topLinePunct w:val="0"/>
        <w:autoSpaceDE/>
        <w:autoSpaceDN/>
        <w:bidi w:val="0"/>
        <w:spacing w:line="560" w:lineRule="exact"/>
        <w:jc w:val="center"/>
        <w:rPr>
          <w:rFonts w:ascii="宋体" w:hAnsi="宋体"/>
          <w:b/>
          <w:bCs/>
          <w:color w:val="auto"/>
          <w:sz w:val="52"/>
          <w:szCs w:val="52"/>
          <w:u w:val="none"/>
        </w:rPr>
      </w:pPr>
      <w:r>
        <w:rPr>
          <w:rFonts w:ascii="宋体" w:hAnsi="宋体"/>
          <w:b/>
          <w:bCs/>
          <w:color w:val="auto"/>
          <w:sz w:val="52"/>
          <w:szCs w:val="52"/>
          <w:u w:val="none"/>
        </w:rPr>
        <w:t>2023</w:t>
      </w:r>
      <w:r>
        <w:rPr>
          <w:rFonts w:hint="eastAsia" w:ascii="宋体" w:hAnsi="宋体"/>
          <w:b/>
          <w:bCs/>
          <w:color w:val="auto"/>
          <w:sz w:val="52"/>
          <w:szCs w:val="52"/>
          <w:u w:val="none"/>
        </w:rPr>
        <w:t>年度内蒙古自治区巴彦淖尔市乌拉特后旗社会保险事业服务中心</w:t>
      </w:r>
    </w:p>
    <w:p w14:paraId="77E6C3D2">
      <w:pPr>
        <w:pageBreakBefore w:val="0"/>
        <w:kinsoku/>
        <w:wordWrap/>
        <w:overflowPunct/>
        <w:topLinePunct w:val="0"/>
        <w:autoSpaceDE/>
        <w:autoSpaceDN/>
        <w:bidi w:val="0"/>
        <w:spacing w:line="560" w:lineRule="exact"/>
        <w:jc w:val="center"/>
        <w:rPr>
          <w:rFonts w:ascii="宋体" w:hAnsi="宋体"/>
          <w:b/>
          <w:bCs/>
          <w:color w:val="auto"/>
          <w:sz w:val="52"/>
          <w:szCs w:val="52"/>
          <w:u w:val="none"/>
        </w:rPr>
      </w:pPr>
      <w:r>
        <w:rPr>
          <w:rFonts w:hint="eastAsia" w:ascii="宋体" w:hAnsi="宋体"/>
          <w:b/>
          <w:bCs/>
          <w:color w:val="auto"/>
          <w:sz w:val="52"/>
          <w:szCs w:val="52"/>
          <w:u w:val="none"/>
        </w:rPr>
        <w:t>公开文档</w:t>
      </w:r>
    </w:p>
    <w:p w14:paraId="6AF33ABC">
      <w:pPr>
        <w:pageBreakBefore w:val="0"/>
        <w:kinsoku/>
        <w:wordWrap/>
        <w:overflowPunct/>
        <w:topLinePunct w:val="0"/>
        <w:autoSpaceDE/>
        <w:autoSpaceDN/>
        <w:bidi w:val="0"/>
        <w:spacing w:line="560" w:lineRule="exact"/>
        <w:jc w:val="center"/>
        <w:rPr>
          <w:rFonts w:ascii="宋体" w:hAnsi="宋体"/>
          <w:b/>
          <w:bCs/>
          <w:color w:val="auto"/>
          <w:sz w:val="52"/>
          <w:szCs w:val="52"/>
          <w:u w:val="none"/>
        </w:rPr>
      </w:pPr>
    </w:p>
    <w:p w14:paraId="10212A6C">
      <w:pPr>
        <w:pageBreakBefore w:val="0"/>
        <w:kinsoku/>
        <w:wordWrap/>
        <w:overflowPunct/>
        <w:topLinePunct w:val="0"/>
        <w:autoSpaceDE/>
        <w:autoSpaceDN/>
        <w:bidi w:val="0"/>
        <w:spacing w:line="560" w:lineRule="exact"/>
        <w:jc w:val="center"/>
        <w:rPr>
          <w:rFonts w:ascii="宋体" w:hAnsi="宋体"/>
          <w:b/>
          <w:bCs/>
          <w:color w:val="auto"/>
          <w:sz w:val="52"/>
          <w:szCs w:val="52"/>
          <w:u w:val="none"/>
        </w:rPr>
      </w:pPr>
    </w:p>
    <w:p w14:paraId="636528E7">
      <w:pPr>
        <w:pageBreakBefore w:val="0"/>
        <w:kinsoku/>
        <w:wordWrap/>
        <w:overflowPunct/>
        <w:topLinePunct w:val="0"/>
        <w:autoSpaceDE/>
        <w:autoSpaceDN/>
        <w:bidi w:val="0"/>
        <w:spacing w:line="560" w:lineRule="exact"/>
        <w:jc w:val="center"/>
        <w:rPr>
          <w:rFonts w:ascii="宋体" w:hAnsi="宋体"/>
          <w:b/>
          <w:bCs/>
          <w:color w:val="auto"/>
          <w:sz w:val="52"/>
          <w:szCs w:val="52"/>
          <w:u w:val="none"/>
        </w:rPr>
      </w:pPr>
    </w:p>
    <w:p w14:paraId="3ADF248C">
      <w:pPr>
        <w:pageBreakBefore w:val="0"/>
        <w:kinsoku/>
        <w:wordWrap/>
        <w:overflowPunct/>
        <w:topLinePunct w:val="0"/>
        <w:autoSpaceDE/>
        <w:autoSpaceDN/>
        <w:bidi w:val="0"/>
        <w:spacing w:line="560" w:lineRule="exact"/>
        <w:jc w:val="center"/>
        <w:rPr>
          <w:rFonts w:ascii="宋体" w:hAnsi="宋体"/>
          <w:b/>
          <w:bCs/>
          <w:color w:val="auto"/>
          <w:sz w:val="52"/>
          <w:szCs w:val="52"/>
          <w:u w:val="none"/>
        </w:rPr>
      </w:pPr>
    </w:p>
    <w:p w14:paraId="1D89E7A7">
      <w:pPr>
        <w:pageBreakBefore w:val="0"/>
        <w:kinsoku/>
        <w:wordWrap/>
        <w:overflowPunct/>
        <w:topLinePunct w:val="0"/>
        <w:autoSpaceDE/>
        <w:autoSpaceDN/>
        <w:bidi w:val="0"/>
        <w:spacing w:line="560" w:lineRule="exact"/>
        <w:jc w:val="center"/>
        <w:rPr>
          <w:rFonts w:ascii="宋体" w:hAnsi="宋体"/>
          <w:b/>
          <w:bCs/>
          <w:color w:val="auto"/>
          <w:sz w:val="52"/>
          <w:szCs w:val="52"/>
          <w:u w:val="none"/>
        </w:rPr>
      </w:pPr>
    </w:p>
    <w:p w14:paraId="6C9B9DF2">
      <w:pPr>
        <w:pageBreakBefore w:val="0"/>
        <w:kinsoku/>
        <w:wordWrap/>
        <w:overflowPunct/>
        <w:topLinePunct w:val="0"/>
        <w:autoSpaceDE/>
        <w:autoSpaceDN/>
        <w:bidi w:val="0"/>
        <w:spacing w:line="560" w:lineRule="exact"/>
        <w:ind w:firstLine="2240" w:firstLineChars="700"/>
        <w:jc w:val="left"/>
        <w:rPr>
          <w:rFonts w:ascii="宋体" w:hAnsi="宋体"/>
          <w:color w:val="auto"/>
          <w:sz w:val="32"/>
          <w:szCs w:val="32"/>
          <w:u w:val="none"/>
        </w:rPr>
      </w:pPr>
      <w:r>
        <w:rPr>
          <w:rFonts w:hint="eastAsia" w:ascii="宋体" w:hAnsi="宋体"/>
          <w:color w:val="auto"/>
          <w:sz w:val="32"/>
          <w:szCs w:val="32"/>
          <w:u w:val="none"/>
          <w:lang w:eastAsia="zh-CN"/>
        </w:rPr>
        <w:t>单位</w:t>
      </w:r>
      <w:r>
        <w:rPr>
          <w:rFonts w:hint="eastAsia" w:ascii="宋体" w:hAnsi="宋体"/>
          <w:color w:val="auto"/>
          <w:sz w:val="32"/>
          <w:szCs w:val="32"/>
          <w:u w:val="none"/>
        </w:rPr>
        <w:t>名称：内蒙古自治区巴彦淖尔市乌拉特后旗社会保险事业服务中心</w:t>
      </w:r>
    </w:p>
    <w:p w14:paraId="29073C42">
      <w:pPr>
        <w:pageBreakBefore w:val="0"/>
        <w:kinsoku/>
        <w:wordWrap/>
        <w:overflowPunct/>
        <w:topLinePunct w:val="0"/>
        <w:autoSpaceDE/>
        <w:autoSpaceDN/>
        <w:bidi w:val="0"/>
        <w:spacing w:line="560" w:lineRule="exact"/>
        <w:ind w:firstLine="2240" w:firstLineChars="700"/>
        <w:jc w:val="left"/>
        <w:rPr>
          <w:rFonts w:ascii="宋体" w:hAnsi="宋体"/>
          <w:color w:val="auto"/>
          <w:sz w:val="32"/>
          <w:szCs w:val="32"/>
          <w:u w:val="none"/>
        </w:rPr>
      </w:pPr>
      <w:r>
        <w:rPr>
          <w:rFonts w:hint="eastAsia" w:ascii="宋体" w:hAnsi="宋体"/>
          <w:color w:val="auto"/>
          <w:sz w:val="32"/>
          <w:szCs w:val="32"/>
          <w:u w:val="none"/>
        </w:rPr>
        <w:t>单位负责人：段飞</w:t>
      </w:r>
    </w:p>
    <w:p w14:paraId="159F86D2">
      <w:pPr>
        <w:pageBreakBefore w:val="0"/>
        <w:kinsoku/>
        <w:wordWrap/>
        <w:overflowPunct/>
        <w:topLinePunct w:val="0"/>
        <w:autoSpaceDE/>
        <w:autoSpaceDN/>
        <w:bidi w:val="0"/>
        <w:spacing w:line="560" w:lineRule="exact"/>
        <w:ind w:firstLine="2240" w:firstLineChars="700"/>
        <w:jc w:val="left"/>
        <w:rPr>
          <w:rFonts w:ascii="宋体" w:hAnsi="宋体"/>
          <w:color w:val="auto"/>
          <w:sz w:val="32"/>
          <w:szCs w:val="32"/>
          <w:u w:val="none"/>
        </w:rPr>
      </w:pPr>
      <w:r>
        <w:rPr>
          <w:rFonts w:hint="eastAsia" w:ascii="宋体" w:hAnsi="宋体"/>
          <w:color w:val="auto"/>
          <w:sz w:val="32"/>
          <w:szCs w:val="32"/>
          <w:u w:val="none"/>
        </w:rPr>
        <w:t>财务负责人：王海明</w:t>
      </w:r>
    </w:p>
    <w:p w14:paraId="2403EDC6">
      <w:pPr>
        <w:pageBreakBefore w:val="0"/>
        <w:kinsoku/>
        <w:wordWrap/>
        <w:overflowPunct/>
        <w:topLinePunct w:val="0"/>
        <w:autoSpaceDE/>
        <w:autoSpaceDN/>
        <w:bidi w:val="0"/>
        <w:spacing w:line="560" w:lineRule="exact"/>
        <w:ind w:firstLine="2240" w:firstLineChars="700"/>
        <w:jc w:val="left"/>
        <w:rPr>
          <w:rFonts w:ascii="宋体" w:hAnsi="宋体"/>
          <w:color w:val="auto"/>
          <w:sz w:val="32"/>
          <w:szCs w:val="32"/>
          <w:u w:val="none"/>
        </w:rPr>
      </w:pPr>
      <w:r>
        <w:rPr>
          <w:rFonts w:hint="eastAsia" w:ascii="宋体" w:hAnsi="宋体"/>
          <w:color w:val="auto"/>
          <w:sz w:val="32"/>
          <w:szCs w:val="32"/>
          <w:u w:val="none"/>
        </w:rPr>
        <w:t>编制人：张娟</w:t>
      </w:r>
    </w:p>
    <w:p w14:paraId="45C58358">
      <w:pPr>
        <w:pageBreakBefore w:val="0"/>
        <w:kinsoku/>
        <w:wordWrap/>
        <w:overflowPunct/>
        <w:topLinePunct w:val="0"/>
        <w:autoSpaceDE/>
        <w:autoSpaceDN/>
        <w:bidi w:val="0"/>
        <w:spacing w:line="560" w:lineRule="exact"/>
        <w:ind w:firstLine="2240" w:firstLineChars="700"/>
        <w:jc w:val="left"/>
        <w:rPr>
          <w:rFonts w:ascii="宋体" w:hAnsi="宋体"/>
          <w:color w:val="auto"/>
          <w:sz w:val="32"/>
          <w:szCs w:val="32"/>
          <w:u w:val="none"/>
        </w:rPr>
      </w:pPr>
      <w:r>
        <w:rPr>
          <w:rFonts w:hint="eastAsia" w:ascii="宋体" w:hAnsi="宋体"/>
          <w:color w:val="auto"/>
          <w:sz w:val="32"/>
          <w:szCs w:val="32"/>
          <w:u w:val="none"/>
        </w:rPr>
        <w:t>报送日期：</w:t>
      </w:r>
      <w:r>
        <w:rPr>
          <w:rFonts w:ascii="宋体" w:hAnsi="宋体"/>
          <w:color w:val="auto"/>
          <w:sz w:val="32"/>
          <w:szCs w:val="32"/>
          <w:u w:val="none"/>
        </w:rPr>
        <w:t>2024</w:t>
      </w:r>
      <w:r>
        <w:rPr>
          <w:rFonts w:hint="eastAsia" w:ascii="宋体" w:hAnsi="宋体"/>
          <w:color w:val="auto"/>
          <w:sz w:val="32"/>
          <w:szCs w:val="32"/>
          <w:u w:val="none"/>
        </w:rPr>
        <w:t>年10月</w:t>
      </w:r>
    </w:p>
    <w:p w14:paraId="7F0BB43E">
      <w:pPr>
        <w:pageBreakBefore w:val="0"/>
        <w:kinsoku/>
        <w:wordWrap/>
        <w:overflowPunct/>
        <w:topLinePunct w:val="0"/>
        <w:autoSpaceDE/>
        <w:autoSpaceDN/>
        <w:bidi w:val="0"/>
        <w:spacing w:line="560" w:lineRule="exact"/>
        <w:ind w:firstLine="2249" w:firstLineChars="700"/>
        <w:rPr>
          <w:rFonts w:ascii="仿宋" w:hAnsi="仿宋" w:eastAsia="仿宋"/>
          <w:b/>
          <w:color w:val="auto"/>
          <w:sz w:val="32"/>
          <w:szCs w:val="32"/>
          <w:u w:val="none"/>
        </w:rPr>
        <w:sectPr>
          <w:footerReference r:id="rId3" w:type="default"/>
          <w:pgSz w:w="11906" w:h="16838"/>
          <w:pgMar w:top="1440" w:right="1083" w:bottom="1440" w:left="1083" w:header="0" w:footer="720" w:gutter="0"/>
          <w:cols w:space="425" w:num="1"/>
          <w:docGrid w:type="lines" w:linePitch="312" w:charSpace="0"/>
        </w:sectPr>
      </w:pPr>
    </w:p>
    <w:p w14:paraId="7342F8BA">
      <w:pPr>
        <w:pageBreakBefore w:val="0"/>
        <w:kinsoku/>
        <w:wordWrap/>
        <w:overflowPunct/>
        <w:topLinePunct w:val="0"/>
        <w:autoSpaceDE/>
        <w:autoSpaceDN/>
        <w:bidi w:val="0"/>
        <w:adjustRightInd w:val="0"/>
        <w:snapToGrid w:val="0"/>
        <w:spacing w:line="560" w:lineRule="exact"/>
        <w:rPr>
          <w:rFonts w:ascii="宋体" w:hAnsi="宋体"/>
          <w:b/>
          <w:color w:val="auto"/>
          <w:sz w:val="32"/>
          <w:szCs w:val="32"/>
          <w:u w:val="none"/>
        </w:rPr>
      </w:pPr>
    </w:p>
    <w:p w14:paraId="4A679AAA">
      <w:pPr>
        <w:pageBreakBefore w:val="0"/>
        <w:kinsoku/>
        <w:wordWrap/>
        <w:overflowPunct/>
        <w:topLinePunct w:val="0"/>
        <w:autoSpaceDE/>
        <w:autoSpaceDN/>
        <w:bidi w:val="0"/>
        <w:adjustRightInd w:val="0"/>
        <w:snapToGrid w:val="0"/>
        <w:spacing w:line="560" w:lineRule="exact"/>
        <w:jc w:val="center"/>
        <w:rPr>
          <w:color w:val="auto"/>
          <w:u w:val="none"/>
        </w:rPr>
      </w:pPr>
    </w:p>
    <w:p w14:paraId="574E833F">
      <w:pPr>
        <w:pageBreakBefore w:val="0"/>
        <w:kinsoku/>
        <w:wordWrap/>
        <w:overflowPunct/>
        <w:topLinePunct w:val="0"/>
        <w:autoSpaceDE/>
        <w:autoSpaceDN/>
        <w:bidi w:val="0"/>
        <w:adjustRightInd w:val="0"/>
        <w:snapToGrid w:val="0"/>
        <w:spacing w:line="560" w:lineRule="exact"/>
        <w:rPr>
          <w:rFonts w:ascii="宋体" w:hAnsi="宋体"/>
          <w:b/>
          <w:color w:val="auto"/>
          <w:sz w:val="32"/>
          <w:szCs w:val="32"/>
          <w:u w:val="none"/>
        </w:rPr>
      </w:pPr>
    </w:p>
    <w:p w14:paraId="508CBC77">
      <w:pPr>
        <w:pStyle w:val="3"/>
        <w:pageBreakBefore w:val="0"/>
        <w:kinsoku/>
        <w:wordWrap/>
        <w:overflowPunct/>
        <w:topLinePunct w:val="0"/>
        <w:autoSpaceDE/>
        <w:autoSpaceDN/>
        <w:bidi w:val="0"/>
        <w:spacing w:line="560" w:lineRule="exact"/>
        <w:rPr>
          <w:color w:val="auto"/>
          <w:u w:val="none"/>
        </w:rPr>
      </w:pPr>
      <w:r>
        <w:rPr>
          <w:rFonts w:hint="eastAsia"/>
          <w:color w:val="auto"/>
          <w:u w:val="none"/>
        </w:rPr>
        <w:t>公开文档</w:t>
      </w:r>
    </w:p>
    <w:p w14:paraId="1C9A9517">
      <w:pPr>
        <w:pageBreakBefore w:val="0"/>
        <w:widowControl/>
        <w:kinsoku/>
        <w:wordWrap/>
        <w:overflowPunct/>
        <w:topLinePunct w:val="0"/>
        <w:autoSpaceDE/>
        <w:autoSpaceDN/>
        <w:bidi w:val="0"/>
        <w:spacing w:after="240" w:line="560" w:lineRule="exact"/>
        <w:jc w:val="center"/>
        <w:rPr>
          <w:rFonts w:ascii="Times New Roman" w:hAnsi="Times New Roman" w:eastAsia="Times New Roman" w:cs="Times New Roman"/>
          <w:color w:val="auto"/>
          <w:kern w:val="0"/>
          <w:sz w:val="24"/>
          <w:u w:val="none"/>
        </w:rPr>
      </w:pPr>
      <w:bookmarkStart w:id="0" w:name="a000"/>
      <w:r>
        <w:rPr>
          <w:rFonts w:ascii="方正楷体_GB2312" w:hAnsi="方正楷体_GB2312" w:eastAsia="方正楷体_GB2312" w:cs="方正楷体_GB2312"/>
          <w:b/>
          <w:bCs/>
          <w:color w:val="auto"/>
          <w:kern w:val="0"/>
          <w:sz w:val="54"/>
          <w:szCs w:val="54"/>
          <w:u w:val="none"/>
        </w:rPr>
        <w:t>目录</w:t>
      </w:r>
    </w:p>
    <w:p w14:paraId="523C1BED">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Times New Roman" w:hAnsi="Times New Roman" w:eastAsia="Times New Roman" w:cs="Times New Roman"/>
          <w:b/>
          <w:bCs/>
          <w:color w:val="auto"/>
          <w:kern w:val="0"/>
          <w:sz w:val="24"/>
          <w:u w:val="none"/>
        </w:rPr>
        <w:t> </w:t>
      </w:r>
    </w:p>
    <w:p w14:paraId="1980E75F">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黑体" w:hAnsi="黑体" w:eastAsia="黑体" w:cs="黑体"/>
          <w:color w:val="auto"/>
          <w:kern w:val="0"/>
          <w:sz w:val="27"/>
          <w:szCs w:val="27"/>
          <w:u w:val="none"/>
        </w:rPr>
        <w:t>第一部分单位概况</w:t>
      </w:r>
    </w:p>
    <w:p w14:paraId="6AF5F737">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color w:val="auto"/>
          <w:kern w:val="0"/>
          <w:sz w:val="27"/>
          <w:szCs w:val="27"/>
          <w:u w:val="none"/>
        </w:rPr>
        <w:t>一、主要职能、职责</w:t>
      </w:r>
    </w:p>
    <w:p w14:paraId="115A95BE">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color w:val="auto"/>
          <w:kern w:val="0"/>
          <w:sz w:val="27"/>
          <w:szCs w:val="27"/>
          <w:u w:val="none"/>
        </w:rPr>
        <w:t>二、单位机构设置及决算单位构成情况</w:t>
      </w:r>
    </w:p>
    <w:p w14:paraId="13B4F958">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color w:val="auto"/>
          <w:kern w:val="0"/>
          <w:sz w:val="27"/>
          <w:szCs w:val="27"/>
          <w:u w:val="none"/>
        </w:rPr>
        <w:t>三、</w:t>
      </w:r>
      <w:r>
        <w:rPr>
          <w:rFonts w:ascii="times_new_roman" w:hAnsi="times_new_roman" w:eastAsia="times_new_roman" w:cs="times_new_roman"/>
          <w:color w:val="auto"/>
          <w:kern w:val="0"/>
          <w:sz w:val="27"/>
          <w:szCs w:val="27"/>
          <w:u w:val="none"/>
        </w:rPr>
        <w:t>2023</w:t>
      </w:r>
      <w:r>
        <w:rPr>
          <w:rFonts w:ascii="方正楷体_GB2312" w:hAnsi="方正楷体_GB2312" w:eastAsia="方正楷体_GB2312" w:cs="方正楷体_GB2312"/>
          <w:color w:val="auto"/>
          <w:kern w:val="0"/>
          <w:sz w:val="27"/>
          <w:szCs w:val="27"/>
          <w:u w:val="none"/>
        </w:rPr>
        <w:t>年度</w:t>
      </w:r>
      <w:r>
        <w:rPr>
          <w:rFonts w:hint="eastAsia" w:ascii="方正楷体_GB2312" w:hAnsi="方正楷体_GB2312" w:eastAsia="方正楷体_GB2312" w:cs="方正楷体_GB2312"/>
          <w:color w:val="auto"/>
          <w:kern w:val="0"/>
          <w:sz w:val="27"/>
          <w:szCs w:val="27"/>
          <w:u w:val="none"/>
          <w:lang w:eastAsia="zh-CN"/>
        </w:rPr>
        <w:t>单位</w:t>
      </w:r>
      <w:r>
        <w:rPr>
          <w:rFonts w:ascii="方正楷体_GB2312" w:hAnsi="方正楷体_GB2312" w:eastAsia="方正楷体_GB2312" w:cs="方正楷体_GB2312"/>
          <w:color w:val="auto"/>
          <w:kern w:val="0"/>
          <w:sz w:val="27"/>
          <w:szCs w:val="27"/>
          <w:u w:val="none"/>
        </w:rPr>
        <w:t>主要工作完成情况</w:t>
      </w:r>
    </w:p>
    <w:p w14:paraId="2CF7D6BD">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黑体" w:hAnsi="黑体" w:eastAsia="黑体" w:cs="黑体"/>
          <w:color w:val="auto"/>
          <w:kern w:val="0"/>
          <w:sz w:val="27"/>
          <w:szCs w:val="27"/>
          <w:u w:val="none"/>
        </w:rPr>
        <w:t>第二部分</w:t>
      </w:r>
      <w:r>
        <w:rPr>
          <w:rFonts w:hint="eastAsia" w:ascii="黑体" w:hAnsi="黑体" w:eastAsia="黑体" w:cs="黑体"/>
          <w:color w:val="auto"/>
          <w:kern w:val="0"/>
          <w:sz w:val="27"/>
          <w:szCs w:val="27"/>
          <w:u w:val="none"/>
          <w:lang w:eastAsia="zh-CN"/>
        </w:rPr>
        <w:t>单位</w:t>
      </w:r>
      <w:r>
        <w:rPr>
          <w:rFonts w:ascii="黑体" w:hAnsi="黑体" w:eastAsia="黑体" w:cs="黑体"/>
          <w:color w:val="auto"/>
          <w:kern w:val="0"/>
          <w:sz w:val="27"/>
          <w:szCs w:val="27"/>
          <w:u w:val="none"/>
        </w:rPr>
        <w:t>决算情况说明</w:t>
      </w:r>
    </w:p>
    <w:p w14:paraId="5F4DA6A9">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color w:val="auto"/>
          <w:kern w:val="0"/>
          <w:sz w:val="27"/>
          <w:szCs w:val="27"/>
          <w:u w:val="none"/>
        </w:rPr>
        <w:t>一、收入支出决算总体情况说明</w:t>
      </w:r>
    </w:p>
    <w:p w14:paraId="22415BA0">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color w:val="auto"/>
          <w:kern w:val="0"/>
          <w:sz w:val="27"/>
          <w:szCs w:val="27"/>
          <w:u w:val="none"/>
        </w:rPr>
        <w:t>二、收入决算情况说明</w:t>
      </w:r>
    </w:p>
    <w:p w14:paraId="47929B3A">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color w:val="auto"/>
          <w:kern w:val="0"/>
          <w:sz w:val="27"/>
          <w:szCs w:val="27"/>
          <w:u w:val="none"/>
        </w:rPr>
        <w:t>三、支出决算情况说明</w:t>
      </w:r>
    </w:p>
    <w:p w14:paraId="61AEF6DA">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color w:val="auto"/>
          <w:kern w:val="0"/>
          <w:sz w:val="27"/>
          <w:szCs w:val="27"/>
          <w:u w:val="none"/>
        </w:rPr>
        <w:t>四、财政拨款收入支出决算总体情况说明</w:t>
      </w:r>
    </w:p>
    <w:p w14:paraId="7E8097A9">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color w:val="auto"/>
          <w:kern w:val="0"/>
          <w:sz w:val="27"/>
          <w:szCs w:val="27"/>
          <w:u w:val="none"/>
        </w:rPr>
        <w:t>五、一般公共预算财政拨款支出决算情况说明</w:t>
      </w:r>
    </w:p>
    <w:p w14:paraId="1F72DA9A">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color w:val="auto"/>
          <w:kern w:val="0"/>
          <w:sz w:val="27"/>
          <w:szCs w:val="27"/>
          <w:u w:val="none"/>
        </w:rPr>
        <w:t>六、一般公共预算财政拨款基本支出决算情况说明</w:t>
      </w:r>
    </w:p>
    <w:p w14:paraId="2CB8B1CE">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color w:val="auto"/>
          <w:kern w:val="0"/>
          <w:sz w:val="27"/>
          <w:szCs w:val="27"/>
          <w:u w:val="none"/>
        </w:rPr>
        <w:t>七、一般公共预算财政拨款项目支出决算情况说明</w:t>
      </w:r>
    </w:p>
    <w:p w14:paraId="410900E6">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color w:val="auto"/>
          <w:kern w:val="0"/>
          <w:sz w:val="27"/>
          <w:szCs w:val="27"/>
          <w:u w:val="none"/>
        </w:rPr>
        <w:t>八、财政拨款“三公”经费支出决算情况说明</w:t>
      </w:r>
    </w:p>
    <w:p w14:paraId="47313290">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color w:val="auto"/>
          <w:kern w:val="0"/>
          <w:sz w:val="27"/>
          <w:szCs w:val="27"/>
          <w:u w:val="none"/>
        </w:rPr>
        <w:t>九、政府性基金预算财政拨款支出决算情况说明</w:t>
      </w:r>
    </w:p>
    <w:p w14:paraId="02B4C628">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color w:val="auto"/>
          <w:kern w:val="0"/>
          <w:sz w:val="27"/>
          <w:szCs w:val="27"/>
          <w:u w:val="none"/>
        </w:rPr>
        <w:t>十、国有资本经营预算财政拨款支出决算情况说明</w:t>
      </w:r>
    </w:p>
    <w:p w14:paraId="14682E68">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color w:val="auto"/>
          <w:kern w:val="0"/>
          <w:sz w:val="27"/>
          <w:szCs w:val="27"/>
          <w:u w:val="none"/>
        </w:rPr>
        <w:t>十一、机构运行经费支出决算情况说明</w:t>
      </w:r>
    </w:p>
    <w:p w14:paraId="758A5403">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color w:val="auto"/>
          <w:kern w:val="0"/>
          <w:sz w:val="27"/>
          <w:szCs w:val="27"/>
          <w:u w:val="none"/>
        </w:rPr>
        <w:t>十二、政府采购支出决算情况说明</w:t>
      </w:r>
    </w:p>
    <w:p w14:paraId="3A3CB2AD">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color w:val="auto"/>
          <w:kern w:val="0"/>
          <w:sz w:val="27"/>
          <w:szCs w:val="27"/>
          <w:u w:val="none"/>
        </w:rPr>
        <w:t>十三、国有资产占用情况说明</w:t>
      </w:r>
    </w:p>
    <w:p w14:paraId="37B8BEDC">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color w:val="auto"/>
          <w:kern w:val="0"/>
          <w:sz w:val="27"/>
          <w:szCs w:val="27"/>
          <w:u w:val="none"/>
        </w:rPr>
        <w:t>十四、预算绩效情况说明</w:t>
      </w:r>
    </w:p>
    <w:p w14:paraId="47FF810F">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黑体" w:hAnsi="黑体" w:eastAsia="黑体" w:cs="黑体"/>
          <w:color w:val="auto"/>
          <w:kern w:val="0"/>
          <w:sz w:val="27"/>
          <w:szCs w:val="27"/>
          <w:u w:val="none"/>
        </w:rPr>
        <w:t>第三部分名词解释</w:t>
      </w:r>
    </w:p>
    <w:p w14:paraId="7BB7EBCF">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黑体" w:hAnsi="黑体" w:eastAsia="黑体" w:cs="黑体"/>
          <w:color w:val="auto"/>
          <w:kern w:val="0"/>
          <w:sz w:val="27"/>
          <w:szCs w:val="27"/>
          <w:u w:val="none"/>
        </w:rPr>
        <w:t>第四部分决算公开联系方式及信息反馈渠道</w:t>
      </w:r>
    </w:p>
    <w:p w14:paraId="301297D4">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黑体" w:hAnsi="黑体" w:eastAsia="黑体" w:cs="黑体"/>
          <w:color w:val="auto"/>
          <w:kern w:val="0"/>
          <w:sz w:val="27"/>
          <w:szCs w:val="27"/>
          <w:u w:val="none"/>
        </w:rPr>
        <w:t>第五部分</w:t>
      </w:r>
      <w:r>
        <w:rPr>
          <w:rFonts w:hint="eastAsia" w:ascii="黑体" w:hAnsi="黑体" w:eastAsia="黑体" w:cs="黑体"/>
          <w:color w:val="auto"/>
          <w:kern w:val="0"/>
          <w:sz w:val="27"/>
          <w:szCs w:val="27"/>
          <w:u w:val="none"/>
          <w:lang w:eastAsia="zh-CN"/>
        </w:rPr>
        <w:t>单位</w:t>
      </w:r>
      <w:r>
        <w:rPr>
          <w:rFonts w:ascii="黑体" w:hAnsi="黑体" w:eastAsia="黑体" w:cs="黑体"/>
          <w:color w:val="auto"/>
          <w:kern w:val="0"/>
          <w:sz w:val="27"/>
          <w:szCs w:val="27"/>
          <w:u w:val="none"/>
        </w:rPr>
        <w:t>决算表</w:t>
      </w:r>
    </w:p>
    <w:p w14:paraId="43A4442A">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color w:val="auto"/>
          <w:kern w:val="0"/>
          <w:sz w:val="27"/>
          <w:szCs w:val="27"/>
          <w:u w:val="none"/>
        </w:rPr>
        <w:t>一、收入支出决算总表</w:t>
      </w:r>
    </w:p>
    <w:p w14:paraId="2F2FD322">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color w:val="auto"/>
          <w:kern w:val="0"/>
          <w:sz w:val="27"/>
          <w:szCs w:val="27"/>
          <w:u w:val="none"/>
        </w:rPr>
        <w:t>二、收入决算表</w:t>
      </w:r>
    </w:p>
    <w:p w14:paraId="1F387F29">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color w:val="auto"/>
          <w:kern w:val="0"/>
          <w:sz w:val="27"/>
          <w:szCs w:val="27"/>
          <w:u w:val="none"/>
        </w:rPr>
        <w:t>三、支出决算表</w:t>
      </w:r>
    </w:p>
    <w:p w14:paraId="55E0B9EC">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color w:val="auto"/>
          <w:kern w:val="0"/>
          <w:sz w:val="27"/>
          <w:szCs w:val="27"/>
          <w:u w:val="none"/>
        </w:rPr>
        <w:t>四、财政拨款收入支出决算总表</w:t>
      </w:r>
    </w:p>
    <w:p w14:paraId="55F4E86E">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color w:val="auto"/>
          <w:kern w:val="0"/>
          <w:sz w:val="27"/>
          <w:szCs w:val="27"/>
          <w:u w:val="none"/>
        </w:rPr>
        <w:t>五、一般公共预算财政拨款支出决算表</w:t>
      </w:r>
    </w:p>
    <w:p w14:paraId="174A8141">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color w:val="auto"/>
          <w:kern w:val="0"/>
          <w:sz w:val="27"/>
          <w:szCs w:val="27"/>
          <w:u w:val="none"/>
        </w:rPr>
        <w:t>六、一般公共预算财政拨款基本支出决算明细表</w:t>
      </w:r>
    </w:p>
    <w:p w14:paraId="0B0B16FE">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color w:val="auto"/>
          <w:kern w:val="0"/>
          <w:sz w:val="27"/>
          <w:szCs w:val="27"/>
          <w:u w:val="none"/>
        </w:rPr>
        <w:t>七、一般公共预算财政拨款项目支出决算明细表</w:t>
      </w:r>
    </w:p>
    <w:p w14:paraId="2C9DFED0">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color w:val="auto"/>
          <w:kern w:val="0"/>
          <w:sz w:val="27"/>
          <w:szCs w:val="27"/>
          <w:u w:val="none"/>
        </w:rPr>
        <w:t>八、政府性基金预算财政拨款收入支出决算表</w:t>
      </w:r>
    </w:p>
    <w:p w14:paraId="4270B2C1">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color w:val="auto"/>
          <w:kern w:val="0"/>
          <w:sz w:val="27"/>
          <w:szCs w:val="27"/>
          <w:u w:val="none"/>
        </w:rPr>
        <w:t>九、国有资本经营预算财政拨款支出决算表</w:t>
      </w:r>
    </w:p>
    <w:p w14:paraId="0E347D6B">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color w:val="auto"/>
          <w:kern w:val="0"/>
          <w:sz w:val="27"/>
          <w:szCs w:val="27"/>
          <w:u w:val="none"/>
        </w:rPr>
        <w:t>十、财政拨款“三公”经费支出决算表</w:t>
      </w:r>
    </w:p>
    <w:p w14:paraId="58814C9E">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color w:val="auto"/>
          <w:kern w:val="0"/>
          <w:sz w:val="27"/>
          <w:szCs w:val="27"/>
          <w:u w:val="none"/>
        </w:rPr>
        <w:t>十一、机构运行经费支出、国有资产占用情况及政府采购支出信息表</w:t>
      </w:r>
    </w:p>
    <w:p w14:paraId="1CB34916">
      <w:pPr>
        <w:pageBreakBefore w:val="0"/>
        <w:widowControl/>
        <w:kinsoku/>
        <w:wordWrap/>
        <w:overflowPunct/>
        <w:topLinePunct w:val="0"/>
        <w:autoSpaceDE/>
        <w:autoSpaceDN/>
        <w:bidi w:val="0"/>
        <w:spacing w:before="240" w:after="240" w:line="560" w:lineRule="exact"/>
        <w:rPr>
          <w:rFonts w:ascii="Times New Roman" w:hAnsi="Times New Roman" w:eastAsia="Times New Roman" w:cs="Times New Roman"/>
          <w:color w:val="auto"/>
          <w:kern w:val="0"/>
          <w:sz w:val="24"/>
          <w:u w:val="none"/>
        </w:rPr>
      </w:pPr>
    </w:p>
    <w:p w14:paraId="6B58E5AD">
      <w:pPr>
        <w:pageBreakBefore w:val="0"/>
        <w:widowControl/>
        <w:kinsoku/>
        <w:wordWrap/>
        <w:overflowPunct/>
        <w:topLinePunct w:val="0"/>
        <w:autoSpaceDE/>
        <w:autoSpaceDN/>
        <w:bidi w:val="0"/>
        <w:spacing w:before="240" w:after="240" w:line="560" w:lineRule="exact"/>
        <w:rPr>
          <w:rFonts w:ascii="Times New Roman" w:hAnsi="Times New Roman" w:eastAsia="Times New Roman" w:cs="Times New Roman"/>
          <w:color w:val="auto"/>
          <w:kern w:val="0"/>
          <w:sz w:val="24"/>
          <w:u w:val="none"/>
        </w:rPr>
      </w:pPr>
    </w:p>
    <w:p w14:paraId="7F39AF5C">
      <w:pPr>
        <w:pageBreakBefore w:val="0"/>
        <w:widowControl/>
        <w:kinsoku/>
        <w:wordWrap/>
        <w:overflowPunct/>
        <w:topLinePunct w:val="0"/>
        <w:autoSpaceDE/>
        <w:autoSpaceDN/>
        <w:bidi w:val="0"/>
        <w:spacing w:before="240" w:after="240" w:line="560" w:lineRule="exact"/>
        <w:rPr>
          <w:rFonts w:ascii="Times New Roman" w:hAnsi="Times New Roman" w:eastAsia="Times New Roman" w:cs="Times New Roman"/>
          <w:color w:val="auto"/>
          <w:kern w:val="0"/>
          <w:sz w:val="24"/>
          <w:u w:val="none"/>
        </w:rPr>
      </w:pPr>
    </w:p>
    <w:p w14:paraId="79C84358">
      <w:pPr>
        <w:pageBreakBefore w:val="0"/>
        <w:widowControl/>
        <w:kinsoku/>
        <w:wordWrap/>
        <w:overflowPunct/>
        <w:topLinePunct w:val="0"/>
        <w:autoSpaceDE/>
        <w:autoSpaceDN/>
        <w:bidi w:val="0"/>
        <w:spacing w:before="240" w:after="240" w:line="560" w:lineRule="exact"/>
        <w:rPr>
          <w:rFonts w:ascii="Times New Roman" w:hAnsi="Times New Roman" w:eastAsia="Times New Roman" w:cs="Times New Roman"/>
          <w:color w:val="auto"/>
          <w:kern w:val="0"/>
          <w:sz w:val="24"/>
          <w:u w:val="none"/>
        </w:rPr>
      </w:pPr>
    </w:p>
    <w:p w14:paraId="2884EE47">
      <w:pPr>
        <w:pageBreakBefore w:val="0"/>
        <w:widowControl/>
        <w:kinsoku/>
        <w:wordWrap/>
        <w:overflowPunct/>
        <w:topLinePunct w:val="0"/>
        <w:autoSpaceDE/>
        <w:autoSpaceDN/>
        <w:bidi w:val="0"/>
        <w:spacing w:before="240" w:after="240" w:line="560" w:lineRule="exact"/>
        <w:rPr>
          <w:rFonts w:ascii="Times New Roman" w:hAnsi="Times New Roman" w:eastAsia="Times New Roman" w:cs="Times New Roman"/>
          <w:color w:val="auto"/>
          <w:kern w:val="0"/>
          <w:sz w:val="24"/>
          <w:u w:val="none"/>
        </w:rPr>
      </w:pPr>
    </w:p>
    <w:p w14:paraId="4E080F25">
      <w:pPr>
        <w:pageBreakBefore w:val="0"/>
        <w:widowControl/>
        <w:kinsoku/>
        <w:wordWrap/>
        <w:overflowPunct/>
        <w:topLinePunct w:val="0"/>
        <w:autoSpaceDE/>
        <w:autoSpaceDN/>
        <w:bidi w:val="0"/>
        <w:spacing w:before="240" w:after="240" w:line="560" w:lineRule="exact"/>
        <w:rPr>
          <w:rFonts w:ascii="Times New Roman" w:hAnsi="Times New Roman" w:eastAsia="Times New Roman" w:cs="Times New Roman"/>
          <w:color w:val="auto"/>
          <w:kern w:val="0"/>
          <w:sz w:val="24"/>
          <w:u w:val="none"/>
        </w:rPr>
      </w:pPr>
    </w:p>
    <w:p w14:paraId="3D78AEF4">
      <w:pPr>
        <w:pageBreakBefore w:val="0"/>
        <w:widowControl/>
        <w:kinsoku/>
        <w:wordWrap/>
        <w:overflowPunct/>
        <w:topLinePunct w:val="0"/>
        <w:autoSpaceDE/>
        <w:autoSpaceDN/>
        <w:bidi w:val="0"/>
        <w:spacing w:before="240" w:after="240" w:line="560" w:lineRule="exact"/>
        <w:rPr>
          <w:rFonts w:ascii="Times New Roman" w:hAnsi="Times New Roman" w:eastAsia="Times New Roman" w:cs="Times New Roman"/>
          <w:color w:val="auto"/>
          <w:kern w:val="0"/>
          <w:sz w:val="24"/>
          <w:u w:val="none"/>
        </w:rPr>
      </w:pPr>
    </w:p>
    <w:p w14:paraId="7C7334B8">
      <w:pPr>
        <w:pageBreakBefore w:val="0"/>
        <w:widowControl/>
        <w:kinsoku/>
        <w:wordWrap/>
        <w:overflowPunct/>
        <w:topLinePunct w:val="0"/>
        <w:autoSpaceDE/>
        <w:autoSpaceDN/>
        <w:bidi w:val="0"/>
        <w:spacing w:before="240" w:after="240" w:line="560" w:lineRule="exact"/>
        <w:rPr>
          <w:rFonts w:ascii="Times New Roman" w:hAnsi="Times New Roman" w:eastAsia="Times New Roman" w:cs="Times New Roman"/>
          <w:color w:val="auto"/>
          <w:kern w:val="0"/>
          <w:sz w:val="24"/>
          <w:u w:val="none"/>
        </w:rPr>
      </w:pPr>
    </w:p>
    <w:p w14:paraId="34D4D416">
      <w:pPr>
        <w:pageBreakBefore w:val="0"/>
        <w:widowControl/>
        <w:kinsoku/>
        <w:wordWrap/>
        <w:overflowPunct/>
        <w:topLinePunct w:val="0"/>
        <w:autoSpaceDE/>
        <w:autoSpaceDN/>
        <w:bidi w:val="0"/>
        <w:spacing w:before="240" w:after="240" w:line="560" w:lineRule="exact"/>
        <w:rPr>
          <w:rFonts w:ascii="Times New Roman" w:hAnsi="Times New Roman" w:eastAsia="Times New Roman" w:cs="Times New Roman"/>
          <w:color w:val="auto"/>
          <w:kern w:val="0"/>
          <w:sz w:val="24"/>
          <w:u w:val="none"/>
        </w:rPr>
      </w:pPr>
    </w:p>
    <w:p w14:paraId="6EC116FC">
      <w:pPr>
        <w:pageBreakBefore w:val="0"/>
        <w:widowControl/>
        <w:kinsoku/>
        <w:wordWrap/>
        <w:overflowPunct/>
        <w:topLinePunct w:val="0"/>
        <w:autoSpaceDE/>
        <w:autoSpaceDN/>
        <w:bidi w:val="0"/>
        <w:spacing w:before="240" w:after="240" w:line="560" w:lineRule="exact"/>
        <w:rPr>
          <w:rFonts w:ascii="Times New Roman" w:hAnsi="Times New Roman" w:eastAsia="Times New Roman" w:cs="Times New Roman"/>
          <w:color w:val="auto"/>
          <w:kern w:val="0"/>
          <w:sz w:val="24"/>
          <w:u w:val="none"/>
        </w:rPr>
      </w:pPr>
    </w:p>
    <w:p w14:paraId="64D55253">
      <w:pPr>
        <w:pageBreakBefore w:val="0"/>
        <w:widowControl/>
        <w:kinsoku/>
        <w:wordWrap/>
        <w:overflowPunct/>
        <w:topLinePunct w:val="0"/>
        <w:autoSpaceDE/>
        <w:autoSpaceDN/>
        <w:bidi w:val="0"/>
        <w:spacing w:before="240" w:after="240" w:line="560" w:lineRule="exact"/>
        <w:rPr>
          <w:rFonts w:ascii="Times New Roman" w:hAnsi="Times New Roman" w:eastAsia="Times New Roman" w:cs="Times New Roman"/>
          <w:color w:val="auto"/>
          <w:kern w:val="0"/>
          <w:sz w:val="24"/>
          <w:u w:val="none"/>
        </w:rPr>
      </w:pPr>
    </w:p>
    <w:p w14:paraId="41931996">
      <w:pPr>
        <w:pageBreakBefore w:val="0"/>
        <w:widowControl/>
        <w:kinsoku/>
        <w:wordWrap/>
        <w:overflowPunct/>
        <w:topLinePunct w:val="0"/>
        <w:autoSpaceDE/>
        <w:autoSpaceDN/>
        <w:bidi w:val="0"/>
        <w:spacing w:before="240" w:after="240" w:line="560" w:lineRule="exact"/>
        <w:rPr>
          <w:rFonts w:ascii="Times New Roman" w:hAnsi="Times New Roman" w:eastAsia="Times New Roman" w:cs="Times New Roman"/>
          <w:color w:val="auto"/>
          <w:kern w:val="0"/>
          <w:sz w:val="24"/>
          <w:u w:val="none"/>
        </w:rPr>
      </w:pPr>
    </w:p>
    <w:p w14:paraId="1822F059">
      <w:pPr>
        <w:pageBreakBefore w:val="0"/>
        <w:widowControl/>
        <w:kinsoku/>
        <w:wordWrap/>
        <w:overflowPunct/>
        <w:topLinePunct w:val="0"/>
        <w:autoSpaceDE/>
        <w:autoSpaceDN/>
        <w:bidi w:val="0"/>
        <w:spacing w:before="240" w:after="240" w:line="560" w:lineRule="exact"/>
        <w:rPr>
          <w:rFonts w:ascii="Times New Roman" w:hAnsi="Times New Roman" w:eastAsia="Times New Roman" w:cs="Times New Roman"/>
          <w:color w:val="auto"/>
          <w:kern w:val="0"/>
          <w:sz w:val="24"/>
          <w:u w:val="none"/>
        </w:rPr>
      </w:pPr>
    </w:p>
    <w:p w14:paraId="73FB50A7">
      <w:pPr>
        <w:pageBreakBefore w:val="0"/>
        <w:widowControl/>
        <w:kinsoku/>
        <w:wordWrap/>
        <w:overflowPunct/>
        <w:topLinePunct w:val="0"/>
        <w:autoSpaceDE/>
        <w:autoSpaceDN/>
        <w:bidi w:val="0"/>
        <w:spacing w:before="240" w:after="240" w:line="560" w:lineRule="exact"/>
        <w:jc w:val="center"/>
        <w:rPr>
          <w:rFonts w:ascii="Times New Roman" w:hAnsi="Times New Roman" w:eastAsia="Times New Roman" w:cs="Times New Roman"/>
          <w:color w:val="auto"/>
          <w:kern w:val="0"/>
          <w:sz w:val="24"/>
          <w:u w:val="none"/>
        </w:rPr>
      </w:pPr>
      <w:r>
        <w:rPr>
          <w:rFonts w:ascii="fang_zheng_xiao_biao_song_ti" w:hAnsi="fang_zheng_xiao_biao_song_ti" w:eastAsia="fang_zheng_xiao_biao_song_ti" w:cs="fang_zheng_xiao_biao_song_ti"/>
          <w:b/>
          <w:bCs/>
          <w:color w:val="auto"/>
          <w:kern w:val="0"/>
          <w:sz w:val="36"/>
          <w:szCs w:val="36"/>
          <w:u w:val="none"/>
        </w:rPr>
        <w:t>第一部分</w:t>
      </w:r>
      <w:r>
        <w:rPr>
          <w:rFonts w:hint="eastAsia" w:ascii="fang_zheng_xiao_biao_song_ti" w:hAnsi="fang_zheng_xiao_biao_song_ti" w:eastAsia="宋体" w:cs="fang_zheng_xiao_biao_song_ti"/>
          <w:b/>
          <w:bCs/>
          <w:color w:val="auto"/>
          <w:kern w:val="0"/>
          <w:sz w:val="36"/>
          <w:szCs w:val="36"/>
          <w:u w:val="none"/>
          <w:lang w:eastAsia="zh-CN"/>
        </w:rPr>
        <w:t>单位</w:t>
      </w:r>
      <w:r>
        <w:rPr>
          <w:rFonts w:ascii="fang_zheng_xiao_biao_song_ti" w:hAnsi="fang_zheng_xiao_biao_song_ti" w:eastAsia="fang_zheng_xiao_biao_song_ti" w:cs="fang_zheng_xiao_biao_song_ti"/>
          <w:b/>
          <w:bCs/>
          <w:color w:val="auto"/>
          <w:kern w:val="0"/>
          <w:sz w:val="36"/>
          <w:szCs w:val="36"/>
          <w:u w:val="none"/>
        </w:rPr>
        <w:t>概况</w:t>
      </w:r>
    </w:p>
    <w:p w14:paraId="3B7D28CA">
      <w:pPr>
        <w:pageBreakBefore w:val="0"/>
        <w:widowControl/>
        <w:kinsoku/>
        <w:wordWrap/>
        <w:overflowPunct/>
        <w:topLinePunct w:val="0"/>
        <w:autoSpaceDE/>
        <w:autoSpaceDN/>
        <w:bidi w:val="0"/>
        <w:spacing w:before="240" w:after="240" w:line="560" w:lineRule="exact"/>
        <w:ind w:firstLine="393"/>
        <w:jc w:val="left"/>
        <w:rPr>
          <w:rFonts w:ascii="黑体" w:hAnsi="黑体" w:eastAsia="黑体" w:cs="黑体"/>
          <w:b/>
          <w:bCs/>
          <w:color w:val="auto"/>
          <w:kern w:val="0"/>
          <w:sz w:val="32"/>
          <w:szCs w:val="32"/>
          <w:u w:val="none"/>
        </w:rPr>
      </w:pPr>
      <w:r>
        <w:rPr>
          <w:rFonts w:ascii="黑体" w:hAnsi="黑体" w:eastAsia="黑体" w:cs="黑体"/>
          <w:b/>
          <w:bCs/>
          <w:color w:val="auto"/>
          <w:kern w:val="0"/>
          <w:sz w:val="32"/>
          <w:szCs w:val="32"/>
          <w:u w:val="none"/>
        </w:rPr>
        <w:t>一、主要职能、职责</w:t>
      </w:r>
    </w:p>
    <w:p w14:paraId="3CDE0646">
      <w:pPr>
        <w:kinsoku/>
        <w:wordWrap/>
        <w:overflowPunct/>
        <w:topLinePunct w:val="0"/>
        <w:bidi w:val="0"/>
        <w:spacing w:beforeLines="0" w:afterLines="0" w:line="560" w:lineRule="exact"/>
        <w:ind w:firstLine="640" w:firstLineChars="200"/>
        <w:rPr>
          <w:rFonts w:hint="eastAsia" w:ascii="Times New Roman" w:hAnsi="Times New Roman" w:eastAsia="仿宋_GB2312" w:cs="Times New Roman"/>
          <w:sz w:val="32"/>
          <w:szCs w:val="32"/>
          <w:u w:val="none"/>
        </w:rPr>
      </w:pPr>
      <w:r>
        <w:rPr>
          <w:rFonts w:hint="eastAsia" w:ascii="Times New Roman" w:hAnsi="Times New Roman" w:eastAsia="仿宋_GB2312" w:cs="Times New Roman"/>
          <w:sz w:val="32"/>
          <w:szCs w:val="32"/>
          <w:u w:val="none"/>
        </w:rPr>
        <w:t>（</w:t>
      </w:r>
      <w:r>
        <w:rPr>
          <w:rFonts w:hint="eastAsia" w:ascii="Times New Roman" w:hAnsi="Times New Roman" w:eastAsia="仿宋_GB2312" w:cs="Times New Roman"/>
          <w:sz w:val="32"/>
          <w:szCs w:val="32"/>
          <w:u w:val="none"/>
          <w:lang w:val="en-US" w:eastAsia="zh-CN"/>
        </w:rPr>
        <w:t>一</w:t>
      </w:r>
      <w:r>
        <w:rPr>
          <w:rFonts w:hint="eastAsia" w:ascii="Times New Roman" w:hAnsi="Times New Roman" w:eastAsia="仿宋_GB2312" w:cs="Times New Roman"/>
          <w:sz w:val="32"/>
          <w:szCs w:val="32"/>
          <w:u w:val="none"/>
        </w:rPr>
        <w:t>）</w:t>
      </w:r>
      <w:r>
        <w:rPr>
          <w:rFonts w:hint="eastAsia" w:ascii="Times New Roman" w:hAnsi="Times New Roman" w:eastAsia="仿宋_GB2312" w:cs="Times New Roman"/>
          <w:sz w:val="32"/>
          <w:szCs w:val="32"/>
          <w:u w:val="none"/>
          <w:lang w:val="en-US" w:eastAsia="zh-CN"/>
        </w:rPr>
        <w:t>单位</w:t>
      </w:r>
      <w:r>
        <w:rPr>
          <w:rFonts w:hint="eastAsia" w:ascii="Times New Roman" w:hAnsi="Times New Roman" w:eastAsia="仿宋_GB2312" w:cs="Times New Roman"/>
          <w:sz w:val="32"/>
          <w:szCs w:val="32"/>
          <w:u w:val="none"/>
        </w:rPr>
        <w:t>职能</w:t>
      </w:r>
    </w:p>
    <w:p w14:paraId="4E0B61BE">
      <w:pPr>
        <w:kinsoku/>
        <w:wordWrap/>
        <w:overflowPunct/>
        <w:topLinePunct w:val="0"/>
        <w:bidi w:val="0"/>
        <w:spacing w:beforeLines="0" w:afterLines="0" w:line="560" w:lineRule="exact"/>
        <w:ind w:firstLine="640" w:firstLineChars="200"/>
        <w:rPr>
          <w:rFonts w:hint="eastAsia" w:ascii="Times New Roman" w:hAnsi="Times New Roman" w:eastAsia="仿宋_GB2312" w:cs="Times New Roman"/>
          <w:sz w:val="32"/>
          <w:szCs w:val="32"/>
          <w:u w:val="none"/>
        </w:rPr>
      </w:pPr>
      <w:r>
        <w:rPr>
          <w:rFonts w:hint="eastAsia" w:ascii="Times New Roman" w:hAnsi="Times New Roman" w:eastAsia="仿宋_GB2312" w:cs="Times New Roman"/>
          <w:sz w:val="32"/>
          <w:szCs w:val="32"/>
          <w:u w:val="none"/>
        </w:rPr>
        <w:t>乌拉特后旗社会保险事业</w:t>
      </w:r>
      <w:r>
        <w:rPr>
          <w:rFonts w:hint="eastAsia" w:ascii="Times New Roman" w:hAnsi="Times New Roman" w:eastAsia="仿宋_GB2312" w:cs="Times New Roman"/>
          <w:sz w:val="32"/>
          <w:szCs w:val="32"/>
          <w:u w:val="none"/>
          <w:lang w:val="en-US" w:eastAsia="zh-CN"/>
        </w:rPr>
        <w:t>服务中心</w:t>
      </w:r>
      <w:r>
        <w:rPr>
          <w:rFonts w:hint="eastAsia" w:ascii="Times New Roman" w:hAnsi="Times New Roman" w:eastAsia="仿宋_GB2312" w:cs="Times New Roman"/>
          <w:sz w:val="32"/>
          <w:szCs w:val="32"/>
          <w:u w:val="none"/>
        </w:rPr>
        <w:t>承担着全旗城镇企业职工养老保险、城乡居民社会养老保险、机关事业单位养老保险、工伤保险的申报、核定、参保、续保工作及保险关系转移接续、查询、社会保险待遇审核、支付和基金的运营和管理；承担着对全旗的参保单位和个人的缴费情况进行稽核审计，为参保单位和个人、提供有关养老、工伤、还承担着全旗企业离退休人员的社会化管理服务工作及其人事档案管理。</w:t>
      </w:r>
    </w:p>
    <w:p w14:paraId="730C190A">
      <w:pPr>
        <w:kinsoku/>
        <w:wordWrap/>
        <w:overflowPunct/>
        <w:topLinePunct w:val="0"/>
        <w:bidi w:val="0"/>
        <w:spacing w:beforeLines="0" w:afterLines="0" w:line="560" w:lineRule="exact"/>
        <w:ind w:firstLine="640" w:firstLineChars="200"/>
        <w:rPr>
          <w:rFonts w:hint="eastAsia" w:ascii="Times New Roman" w:hAnsi="Times New Roman" w:eastAsia="仿宋_GB2312" w:cs="Times New Roman"/>
          <w:sz w:val="32"/>
          <w:szCs w:val="32"/>
          <w:u w:val="none"/>
          <w:lang w:val="en-US" w:eastAsia="zh-CN"/>
        </w:rPr>
      </w:pPr>
      <w:r>
        <w:rPr>
          <w:rFonts w:hint="eastAsia" w:ascii="Times New Roman" w:hAnsi="Times New Roman" w:eastAsia="仿宋_GB2312" w:cs="Times New Roman"/>
          <w:sz w:val="32"/>
          <w:szCs w:val="32"/>
          <w:u w:val="none"/>
          <w:lang w:eastAsia="zh-CN"/>
        </w:rPr>
        <w:t>（</w:t>
      </w:r>
      <w:r>
        <w:rPr>
          <w:rFonts w:hint="eastAsia" w:ascii="Times New Roman" w:hAnsi="Times New Roman" w:eastAsia="仿宋_GB2312" w:cs="Times New Roman"/>
          <w:sz w:val="32"/>
          <w:szCs w:val="32"/>
          <w:u w:val="none"/>
          <w:lang w:val="en-US" w:eastAsia="zh-CN"/>
        </w:rPr>
        <w:t>二</w:t>
      </w:r>
      <w:r>
        <w:rPr>
          <w:rFonts w:hint="eastAsia" w:ascii="Times New Roman" w:hAnsi="Times New Roman" w:eastAsia="仿宋_GB2312" w:cs="Times New Roman"/>
          <w:sz w:val="32"/>
          <w:szCs w:val="32"/>
          <w:u w:val="none"/>
          <w:lang w:eastAsia="zh-CN"/>
        </w:rPr>
        <w:t>）</w:t>
      </w:r>
      <w:r>
        <w:rPr>
          <w:rFonts w:hint="eastAsia" w:ascii="Times New Roman" w:hAnsi="Times New Roman" w:eastAsia="仿宋_GB2312" w:cs="Times New Roman"/>
          <w:sz w:val="32"/>
          <w:szCs w:val="32"/>
          <w:u w:val="none"/>
          <w:lang w:val="en-US" w:eastAsia="zh-CN"/>
        </w:rPr>
        <w:t>单位</w:t>
      </w:r>
      <w:r>
        <w:rPr>
          <w:rFonts w:hint="eastAsia" w:ascii="Times New Roman" w:hAnsi="Times New Roman" w:eastAsia="仿宋_GB2312" w:cs="Times New Roman"/>
          <w:sz w:val="32"/>
          <w:szCs w:val="32"/>
          <w:u w:val="none"/>
        </w:rPr>
        <w:t>主要职责</w:t>
      </w:r>
    </w:p>
    <w:p w14:paraId="301AA075">
      <w:pPr>
        <w:kinsoku/>
        <w:wordWrap/>
        <w:overflowPunct/>
        <w:topLinePunct w:val="0"/>
        <w:bidi w:val="0"/>
        <w:spacing w:beforeLines="0" w:afterLines="0" w:line="560" w:lineRule="exact"/>
        <w:ind w:firstLine="640" w:firstLineChars="200"/>
        <w:rPr>
          <w:rFonts w:hint="eastAsia" w:ascii="Times New Roman" w:hAnsi="Times New Roman" w:eastAsia="仿宋_GB2312" w:cs="Times New Roman"/>
          <w:sz w:val="32"/>
          <w:szCs w:val="32"/>
          <w:u w:val="none"/>
          <w:lang w:val="en-US" w:eastAsia="zh-CN"/>
        </w:rPr>
      </w:pPr>
      <w:r>
        <w:rPr>
          <w:rFonts w:hint="eastAsia" w:ascii="Times New Roman" w:hAnsi="Times New Roman" w:eastAsia="仿宋_GB2312" w:cs="Times New Roman"/>
          <w:sz w:val="32"/>
          <w:szCs w:val="32"/>
          <w:u w:val="none"/>
          <w:lang w:val="en-US" w:eastAsia="zh-CN"/>
        </w:rPr>
        <w:t>城镇职工养老保险股主要职责为依法收缴养老保险费，督促企业和被保险人足额缴纳养老保险费；建立健全被保险人养老保险档案和个人账户，依法保障养老保险档案完整与安全；办理被保险人的养老保险关系及个人账户的接转手续，向企业和被保险人提供有关养老保险的咨询、查询服务。</w:t>
      </w:r>
    </w:p>
    <w:p w14:paraId="46E5B59B">
      <w:pPr>
        <w:kinsoku/>
        <w:wordWrap/>
        <w:overflowPunct/>
        <w:topLinePunct w:val="0"/>
        <w:bidi w:val="0"/>
        <w:spacing w:beforeLines="0" w:afterLines="0" w:line="560" w:lineRule="exact"/>
        <w:ind w:firstLine="640" w:firstLineChars="200"/>
        <w:rPr>
          <w:rFonts w:hint="eastAsia" w:ascii="Times New Roman" w:hAnsi="Times New Roman" w:eastAsia="仿宋_GB2312" w:cs="Times New Roman"/>
          <w:sz w:val="32"/>
          <w:szCs w:val="32"/>
          <w:u w:val="none"/>
          <w:lang w:val="en-US" w:eastAsia="zh-CN"/>
        </w:rPr>
      </w:pPr>
      <w:r>
        <w:rPr>
          <w:rFonts w:hint="eastAsia" w:ascii="Times New Roman" w:hAnsi="Times New Roman" w:eastAsia="仿宋_GB2312" w:cs="Times New Roman"/>
          <w:sz w:val="32"/>
          <w:szCs w:val="32"/>
          <w:u w:val="none"/>
          <w:lang w:val="en-US" w:eastAsia="zh-CN"/>
        </w:rPr>
        <w:t>退休管理股的主要职责为依法支付被保险人的基本养老金及其他养老保险待遇。</w:t>
      </w:r>
    </w:p>
    <w:p w14:paraId="4B391B93">
      <w:pPr>
        <w:kinsoku/>
        <w:wordWrap/>
        <w:overflowPunct/>
        <w:topLinePunct w:val="0"/>
        <w:bidi w:val="0"/>
        <w:spacing w:beforeLines="0" w:afterLines="0" w:line="560" w:lineRule="exact"/>
        <w:ind w:firstLine="640" w:firstLineChars="200"/>
        <w:rPr>
          <w:rFonts w:hint="eastAsia" w:ascii="Times New Roman" w:hAnsi="Times New Roman" w:eastAsia="仿宋_GB2312" w:cs="Times New Roman"/>
          <w:sz w:val="32"/>
          <w:szCs w:val="32"/>
          <w:u w:val="none"/>
          <w:lang w:val="en-US" w:eastAsia="zh-CN"/>
        </w:rPr>
      </w:pPr>
      <w:r>
        <w:rPr>
          <w:rFonts w:hint="eastAsia" w:ascii="Times New Roman" w:hAnsi="Times New Roman" w:eastAsia="仿宋_GB2312" w:cs="Times New Roman"/>
          <w:sz w:val="32"/>
          <w:szCs w:val="32"/>
          <w:u w:val="none"/>
          <w:lang w:val="en-US" w:eastAsia="zh-CN"/>
        </w:rPr>
        <w:t>城乡居民养老保险股的主要职责是负责城镇居民养老保险、农村养老保险参保人员的（未参加城镇职工养老保险的）待遇结算、调整、发放、社会化管理、服务等工作；</w:t>
      </w:r>
    </w:p>
    <w:p w14:paraId="7DEF6EF0">
      <w:pPr>
        <w:kinsoku/>
        <w:wordWrap/>
        <w:overflowPunct/>
        <w:topLinePunct w:val="0"/>
        <w:bidi w:val="0"/>
        <w:spacing w:beforeLines="0" w:afterLines="0" w:line="560" w:lineRule="exact"/>
        <w:ind w:firstLine="640" w:firstLineChars="200"/>
        <w:rPr>
          <w:rFonts w:hint="eastAsia" w:ascii="Times New Roman" w:hAnsi="Times New Roman" w:eastAsia="仿宋_GB2312" w:cs="Times New Roman"/>
          <w:sz w:val="32"/>
          <w:szCs w:val="32"/>
          <w:u w:val="none"/>
          <w:lang w:val="en-US" w:eastAsia="zh-CN"/>
        </w:rPr>
      </w:pPr>
      <w:r>
        <w:rPr>
          <w:rFonts w:hint="eastAsia" w:ascii="Times New Roman" w:hAnsi="Times New Roman" w:eastAsia="仿宋_GB2312" w:cs="Times New Roman"/>
          <w:sz w:val="32"/>
          <w:szCs w:val="32"/>
          <w:u w:val="none"/>
          <w:lang w:val="en-US" w:eastAsia="zh-CN"/>
        </w:rPr>
        <w:t>办公室的主要职责是负责单位内部的综合协调和督促检查，以及协调本单位各股室的有关业务工作、负责信访、文印、文书档案等工作。</w:t>
      </w:r>
    </w:p>
    <w:p w14:paraId="35E33987">
      <w:pPr>
        <w:kinsoku/>
        <w:wordWrap/>
        <w:overflowPunct/>
        <w:topLinePunct w:val="0"/>
        <w:bidi w:val="0"/>
        <w:spacing w:beforeLines="0" w:afterLines="0" w:line="560" w:lineRule="exact"/>
        <w:ind w:firstLine="640" w:firstLineChars="200"/>
        <w:rPr>
          <w:rFonts w:hint="eastAsia" w:ascii="Times New Roman" w:hAnsi="Times New Roman" w:eastAsia="仿宋_GB2312" w:cs="Times New Roman"/>
          <w:sz w:val="32"/>
          <w:szCs w:val="32"/>
          <w:u w:val="none"/>
          <w:lang w:val="en-US" w:eastAsia="zh-CN"/>
        </w:rPr>
      </w:pPr>
      <w:r>
        <w:rPr>
          <w:rFonts w:hint="eastAsia" w:ascii="Times New Roman" w:hAnsi="Times New Roman" w:eastAsia="仿宋_GB2312" w:cs="Times New Roman"/>
          <w:sz w:val="32"/>
          <w:szCs w:val="32"/>
          <w:u w:val="none"/>
          <w:lang w:val="en-US" w:eastAsia="zh-CN"/>
        </w:rPr>
        <w:t>档案室的主要职责是历年档案的归档及管理工作。</w:t>
      </w:r>
    </w:p>
    <w:p w14:paraId="7C495BD6">
      <w:pPr>
        <w:kinsoku/>
        <w:wordWrap/>
        <w:overflowPunct/>
        <w:topLinePunct w:val="0"/>
        <w:bidi w:val="0"/>
        <w:spacing w:beforeLines="0" w:afterLines="0" w:line="560" w:lineRule="exact"/>
        <w:ind w:firstLine="640" w:firstLineChars="200"/>
        <w:rPr>
          <w:rFonts w:hint="eastAsia" w:ascii="Times New Roman" w:hAnsi="Times New Roman" w:eastAsia="仿宋_GB2312" w:cs="Times New Roman"/>
          <w:sz w:val="32"/>
          <w:szCs w:val="32"/>
          <w:u w:val="none"/>
          <w:lang w:val="en-US" w:eastAsia="zh-CN"/>
        </w:rPr>
      </w:pPr>
      <w:r>
        <w:rPr>
          <w:rFonts w:hint="eastAsia" w:ascii="Times New Roman" w:hAnsi="Times New Roman" w:eastAsia="仿宋_GB2312" w:cs="Times New Roman"/>
          <w:sz w:val="32"/>
          <w:szCs w:val="32"/>
          <w:u w:val="none"/>
          <w:lang w:val="en-US" w:eastAsia="zh-CN"/>
        </w:rPr>
        <w:t>工伤保险股的主要职责为工伤保险待遇的受理、审核、复核、待遇发放等工作。</w:t>
      </w:r>
    </w:p>
    <w:p w14:paraId="04CF9334">
      <w:pPr>
        <w:kinsoku/>
        <w:wordWrap/>
        <w:overflowPunct/>
        <w:topLinePunct w:val="0"/>
        <w:bidi w:val="0"/>
        <w:spacing w:beforeLines="0" w:afterLines="0" w:line="560" w:lineRule="exact"/>
        <w:ind w:firstLine="640" w:firstLineChars="200"/>
        <w:rPr>
          <w:rFonts w:hint="eastAsia" w:ascii="Times New Roman" w:hAnsi="Times New Roman" w:eastAsia="仿宋_GB2312" w:cs="Times New Roman"/>
          <w:sz w:val="32"/>
          <w:szCs w:val="32"/>
          <w:u w:val="none"/>
          <w:lang w:val="en-US" w:eastAsia="zh-CN"/>
        </w:rPr>
      </w:pPr>
      <w:r>
        <w:rPr>
          <w:rFonts w:hint="eastAsia" w:ascii="Times New Roman" w:hAnsi="Times New Roman" w:eastAsia="仿宋_GB2312" w:cs="Times New Roman"/>
          <w:sz w:val="32"/>
          <w:szCs w:val="32"/>
          <w:u w:val="none"/>
          <w:lang w:val="en-US" w:eastAsia="zh-CN"/>
        </w:rPr>
        <w:t>机关养老保险股的主要职责为，全旗行政事业单位退休职工的养老金的核算、发放等工作。</w:t>
      </w:r>
    </w:p>
    <w:p w14:paraId="1AA396AF">
      <w:pPr>
        <w:kinsoku/>
        <w:wordWrap/>
        <w:overflowPunct/>
        <w:topLinePunct w:val="0"/>
        <w:bidi w:val="0"/>
        <w:spacing w:beforeLines="0" w:afterLines="0" w:line="560" w:lineRule="exact"/>
        <w:ind w:firstLine="640" w:firstLineChars="200"/>
        <w:rPr>
          <w:rFonts w:hint="eastAsia" w:ascii="Times New Roman" w:hAnsi="Times New Roman" w:eastAsia="仿宋_GB2312" w:cs="Times New Roman"/>
          <w:sz w:val="32"/>
          <w:szCs w:val="32"/>
          <w:u w:val="none"/>
          <w:lang w:val="en-US" w:eastAsia="zh-CN"/>
        </w:rPr>
      </w:pPr>
      <w:r>
        <w:rPr>
          <w:rFonts w:hint="eastAsia" w:ascii="Times New Roman" w:hAnsi="Times New Roman" w:eastAsia="仿宋_GB2312" w:cs="Times New Roman"/>
          <w:sz w:val="32"/>
          <w:szCs w:val="32"/>
          <w:u w:val="none"/>
          <w:lang w:val="en-US" w:eastAsia="zh-CN"/>
        </w:rPr>
        <w:t>财务股的主要职责为票据的审核、养老金及各项待遇的发放、预决算的编制、报表的编制等工作。</w:t>
      </w:r>
    </w:p>
    <w:p w14:paraId="584662FB">
      <w:pPr>
        <w:kinsoku/>
        <w:wordWrap/>
        <w:overflowPunct/>
        <w:topLinePunct w:val="0"/>
        <w:bidi w:val="0"/>
        <w:spacing w:beforeLines="0" w:afterLines="0" w:line="560" w:lineRule="exact"/>
        <w:ind w:firstLine="640" w:firstLineChars="200"/>
        <w:rPr>
          <w:rFonts w:hint="eastAsia" w:ascii="Times New Roman" w:hAnsi="Times New Roman" w:eastAsia="仿宋_GB2312" w:cs="Times New Roman"/>
          <w:sz w:val="32"/>
          <w:szCs w:val="32"/>
          <w:u w:val="none"/>
          <w:lang w:val="en-US" w:eastAsia="zh-CN"/>
        </w:rPr>
      </w:pPr>
      <w:r>
        <w:rPr>
          <w:rFonts w:hint="eastAsia" w:ascii="Times New Roman" w:hAnsi="Times New Roman" w:eastAsia="仿宋_GB2312" w:cs="Times New Roman"/>
          <w:sz w:val="32"/>
          <w:szCs w:val="32"/>
          <w:u w:val="none"/>
          <w:lang w:val="en-US" w:eastAsia="zh-CN"/>
        </w:rPr>
        <w:t>核定股的主要职责为承担全旗各项保险的核定工作。</w:t>
      </w:r>
    </w:p>
    <w:p w14:paraId="27F11754">
      <w:pPr>
        <w:kinsoku/>
        <w:wordWrap/>
        <w:overflowPunct/>
        <w:topLinePunct w:val="0"/>
        <w:bidi w:val="0"/>
        <w:spacing w:beforeLines="0" w:afterLines="0" w:line="560" w:lineRule="exact"/>
        <w:ind w:firstLine="640" w:firstLineChars="200"/>
        <w:rPr>
          <w:u w:val="none"/>
        </w:rPr>
      </w:pPr>
      <w:r>
        <w:rPr>
          <w:rFonts w:hint="eastAsia" w:ascii="Times New Roman" w:hAnsi="Times New Roman" w:eastAsia="仿宋_GB2312" w:cs="Times New Roman"/>
          <w:sz w:val="32"/>
          <w:szCs w:val="32"/>
          <w:u w:val="none"/>
          <w:lang w:val="en-US" w:eastAsia="zh-CN"/>
        </w:rPr>
        <w:t>监审股的主要职责为监督单位内部所有科室业务活动的审查和监督工作。</w:t>
      </w:r>
    </w:p>
    <w:p w14:paraId="5DB96230">
      <w:pPr>
        <w:keepNext w:val="0"/>
        <w:keepLines w:val="0"/>
        <w:pageBreakBefore w:val="0"/>
        <w:widowControl/>
        <w:kinsoku/>
        <w:wordWrap/>
        <w:overflowPunct/>
        <w:topLinePunct w:val="0"/>
        <w:autoSpaceDE/>
        <w:autoSpaceDN/>
        <w:bidi w:val="0"/>
        <w:adjustRightInd/>
        <w:snapToGrid/>
        <w:spacing w:before="240" w:after="240" w:line="560" w:lineRule="exact"/>
        <w:ind w:firstLine="320" w:firstLineChars="100"/>
        <w:jc w:val="left"/>
        <w:rPr>
          <w:rFonts w:ascii="Times New Roman" w:hAnsi="Times New Roman" w:eastAsia="Times New Roman" w:cs="Times New Roman"/>
          <w:color w:val="auto"/>
          <w:kern w:val="0"/>
          <w:sz w:val="32"/>
          <w:szCs w:val="32"/>
          <w:u w:val="none"/>
        </w:rPr>
      </w:pPr>
      <w:r>
        <w:rPr>
          <w:rFonts w:ascii="Calibri" w:hAnsi="Calibri" w:eastAsia="Calibri" w:cs="Calibri"/>
          <w:b/>
          <w:bCs/>
          <w:color w:val="auto"/>
          <w:kern w:val="0"/>
          <w:sz w:val="32"/>
          <w:szCs w:val="32"/>
          <w:u w:val="none"/>
        </w:rPr>
        <w:t>  </w:t>
      </w:r>
      <w:r>
        <w:rPr>
          <w:rFonts w:ascii="黑体" w:hAnsi="黑体" w:eastAsia="黑体" w:cs="黑体"/>
          <w:b/>
          <w:bCs/>
          <w:color w:val="auto"/>
          <w:kern w:val="0"/>
          <w:sz w:val="32"/>
          <w:szCs w:val="32"/>
          <w:u w:val="none"/>
        </w:rPr>
        <w:t>二、</w:t>
      </w:r>
      <w:r>
        <w:rPr>
          <w:rFonts w:hint="eastAsia" w:ascii="黑体" w:hAnsi="黑体" w:eastAsia="黑体" w:cs="黑体"/>
          <w:b/>
          <w:bCs/>
          <w:color w:val="auto"/>
          <w:kern w:val="0"/>
          <w:sz w:val="32"/>
          <w:szCs w:val="32"/>
          <w:u w:val="none"/>
          <w:lang w:eastAsia="zh-CN"/>
        </w:rPr>
        <w:t>单位</w:t>
      </w:r>
      <w:r>
        <w:rPr>
          <w:rFonts w:ascii="黑体" w:hAnsi="黑体" w:eastAsia="黑体" w:cs="黑体"/>
          <w:b/>
          <w:bCs/>
          <w:color w:val="auto"/>
          <w:kern w:val="0"/>
          <w:sz w:val="32"/>
          <w:szCs w:val="32"/>
          <w:u w:val="none"/>
        </w:rPr>
        <w:t>机构设置及决算单位构成情况</w:t>
      </w:r>
    </w:p>
    <w:p w14:paraId="02D9682B">
      <w:pPr>
        <w:keepNext w:val="0"/>
        <w:keepLines w:val="0"/>
        <w:pageBreakBefore w:val="0"/>
        <w:widowControl/>
        <w:kinsoku/>
        <w:wordWrap/>
        <w:overflowPunct/>
        <w:topLinePunct w:val="0"/>
        <w:autoSpaceDE/>
        <w:autoSpaceDN/>
        <w:bidi w:val="0"/>
        <w:adjustRightInd/>
        <w:snapToGrid/>
        <w:spacing w:before="240" w:after="240" w:line="560" w:lineRule="exact"/>
        <w:ind w:firstLine="481"/>
        <w:jc w:val="left"/>
        <w:rPr>
          <w:rFonts w:hint="eastAsia" w:ascii="仿宋" w:hAnsi="仿宋" w:eastAsia="仿宋" w:cs="仿宋"/>
          <w:color w:val="auto"/>
          <w:kern w:val="0"/>
          <w:sz w:val="32"/>
          <w:szCs w:val="32"/>
          <w:u w:val="none"/>
        </w:rPr>
      </w:pPr>
      <w:r>
        <w:rPr>
          <w:rFonts w:ascii="times_new_roman" w:hAnsi="times_new_roman" w:eastAsia="times_new_roman" w:cs="times_new_roman"/>
          <w:color w:val="auto"/>
          <w:kern w:val="0"/>
          <w:sz w:val="27"/>
          <w:szCs w:val="27"/>
          <w:u w:val="none"/>
        </w:rPr>
        <w:t>1</w:t>
      </w:r>
      <w:r>
        <w:rPr>
          <w:rFonts w:ascii="方正楷体_GB2312" w:hAnsi="方正楷体_GB2312" w:eastAsia="方正楷体_GB2312" w:cs="方正楷体_GB2312"/>
          <w:color w:val="auto"/>
          <w:kern w:val="0"/>
          <w:sz w:val="27"/>
          <w:szCs w:val="27"/>
          <w:u w:val="none"/>
        </w:rPr>
        <w:t>.</w:t>
      </w:r>
      <w:r>
        <w:rPr>
          <w:rFonts w:hint="eastAsia" w:ascii="仿宋" w:hAnsi="仿宋" w:eastAsia="仿宋" w:cs="仿宋"/>
          <w:color w:val="auto"/>
          <w:kern w:val="0"/>
          <w:sz w:val="32"/>
          <w:szCs w:val="32"/>
          <w:u w:val="none"/>
        </w:rPr>
        <w:t>乌拉特后旗社会保险事业服务中心根据单位职责分工，本单位内设机构包括10个股室，包括城镇职工养老保险股、退休管理股、城乡居民养老保险股、办公室、档案室、工伤保险股、机关养老保险股、财务股、核定股、监审股。本单位无下属单位。</w:t>
      </w:r>
    </w:p>
    <w:p w14:paraId="487037BC">
      <w:pPr>
        <w:keepNext w:val="0"/>
        <w:keepLines w:val="0"/>
        <w:pageBreakBefore w:val="0"/>
        <w:widowControl/>
        <w:kinsoku/>
        <w:wordWrap/>
        <w:overflowPunct/>
        <w:topLinePunct w:val="0"/>
        <w:autoSpaceDE/>
        <w:autoSpaceDN/>
        <w:bidi w:val="0"/>
        <w:adjustRightInd/>
        <w:snapToGrid/>
        <w:spacing w:before="240" w:after="240" w:line="560" w:lineRule="exact"/>
        <w:ind w:firstLine="481"/>
        <w:jc w:val="left"/>
        <w:rPr>
          <w:rFonts w:ascii="Times New Roman" w:hAnsi="Times New Roman" w:eastAsia="Times New Roman" w:cs="Times New Roman"/>
          <w:color w:val="auto"/>
          <w:kern w:val="0"/>
          <w:sz w:val="24"/>
          <w:u w:val="none"/>
        </w:rPr>
      </w:pPr>
      <w:r>
        <w:rPr>
          <w:rFonts w:hint="eastAsia" w:ascii="仿宋" w:hAnsi="仿宋" w:eastAsia="仿宋" w:cs="仿宋"/>
          <w:color w:val="auto"/>
          <w:kern w:val="0"/>
          <w:sz w:val="32"/>
          <w:szCs w:val="32"/>
          <w:u w:val="none"/>
          <w:lang w:val="en-US" w:eastAsia="zh-CN"/>
        </w:rPr>
        <w:t>2、</w:t>
      </w:r>
      <w:r>
        <w:rPr>
          <w:rFonts w:hint="eastAsia" w:ascii="仿宋" w:hAnsi="仿宋" w:eastAsia="仿宋" w:cs="仿宋"/>
          <w:color w:val="auto"/>
          <w:kern w:val="0"/>
          <w:sz w:val="32"/>
          <w:szCs w:val="32"/>
          <w:u w:val="none"/>
        </w:rPr>
        <w:t>从</w:t>
      </w:r>
      <w:r>
        <w:rPr>
          <w:rFonts w:hint="eastAsia" w:ascii="仿宋" w:hAnsi="仿宋" w:eastAsia="仿宋" w:cs="仿宋"/>
          <w:color w:val="auto"/>
          <w:kern w:val="0"/>
          <w:sz w:val="32"/>
          <w:szCs w:val="32"/>
          <w:u w:val="none"/>
          <w:lang w:val="en-US" w:eastAsia="zh-CN"/>
        </w:rPr>
        <w:t>决</w:t>
      </w:r>
      <w:r>
        <w:rPr>
          <w:rFonts w:hint="eastAsia" w:ascii="仿宋" w:hAnsi="仿宋" w:eastAsia="仿宋" w:cs="仿宋"/>
          <w:color w:val="auto"/>
          <w:kern w:val="0"/>
          <w:sz w:val="32"/>
          <w:szCs w:val="32"/>
          <w:u w:val="none"/>
        </w:rPr>
        <w:t>算单位构成看，纳入</w:t>
      </w:r>
      <w:r>
        <w:rPr>
          <w:rFonts w:ascii="方正楷体_GB2312" w:hAnsi="方正楷体_GB2312" w:eastAsia="方正楷体_GB2312" w:cs="方正楷体_GB2312"/>
          <w:color w:val="auto"/>
          <w:kern w:val="0"/>
          <w:sz w:val="27"/>
          <w:szCs w:val="27"/>
          <w:u w:val="none"/>
        </w:rPr>
        <w:t>本财政汇总</w:t>
      </w:r>
      <w:r>
        <w:rPr>
          <w:rFonts w:hint="eastAsia" w:ascii="仿宋" w:hAnsi="仿宋" w:eastAsia="仿宋" w:cs="仿宋"/>
          <w:color w:val="auto"/>
          <w:kern w:val="0"/>
          <w:sz w:val="32"/>
          <w:szCs w:val="32"/>
          <w:u w:val="none"/>
          <w:lang w:val="en-US" w:eastAsia="zh-CN"/>
        </w:rPr>
        <w:t>决</w:t>
      </w:r>
      <w:r>
        <w:rPr>
          <w:rFonts w:hint="eastAsia" w:ascii="仿宋" w:hAnsi="仿宋" w:eastAsia="仿宋" w:cs="仿宋"/>
          <w:color w:val="auto"/>
          <w:kern w:val="0"/>
          <w:sz w:val="32"/>
          <w:szCs w:val="32"/>
          <w:u w:val="none"/>
        </w:rPr>
        <w:t>算编制范围的预算单位共计1家，</w:t>
      </w:r>
      <w:r>
        <w:rPr>
          <w:rFonts w:hint="eastAsia" w:ascii="仿宋" w:hAnsi="仿宋" w:eastAsia="仿宋" w:cs="仿宋"/>
          <w:color w:val="auto"/>
          <w:kern w:val="0"/>
          <w:sz w:val="32"/>
          <w:szCs w:val="32"/>
          <w:u w:val="none"/>
          <w:lang w:val="en-US" w:eastAsia="zh-CN"/>
        </w:rPr>
        <w:t>具体包括：</w:t>
      </w:r>
      <w:r>
        <w:rPr>
          <w:rFonts w:hint="eastAsia" w:ascii="仿宋" w:hAnsi="仿宋" w:eastAsia="仿宋" w:cs="仿宋"/>
          <w:color w:val="auto"/>
          <w:kern w:val="0"/>
          <w:sz w:val="32"/>
          <w:szCs w:val="32"/>
          <w:u w:val="none"/>
        </w:rPr>
        <w:t>乌拉特后旗社会保险事业服务中心</w:t>
      </w:r>
      <w:r>
        <w:rPr>
          <w:rFonts w:hint="eastAsia" w:ascii="仿宋" w:hAnsi="仿宋" w:eastAsia="仿宋" w:cs="仿宋"/>
          <w:color w:val="auto"/>
          <w:kern w:val="0"/>
          <w:sz w:val="32"/>
          <w:szCs w:val="32"/>
          <w:u w:val="none"/>
          <w:lang w:eastAsia="zh-CN"/>
        </w:rPr>
        <w:t>。</w:t>
      </w:r>
      <w:r>
        <w:rPr>
          <w:rFonts w:ascii="方正楷体_GB2312" w:hAnsi="方正楷体_GB2312" w:eastAsia="方正楷体_GB2312" w:cs="方正楷体_GB2312"/>
          <w:color w:val="auto"/>
          <w:kern w:val="0"/>
          <w:sz w:val="27"/>
          <w:szCs w:val="27"/>
          <w:u w:val="none"/>
        </w:rPr>
        <w:t>详细情况见表</w:t>
      </w:r>
      <w:r>
        <w:rPr>
          <w:rFonts w:hint="eastAsia" w:ascii="仿宋" w:hAnsi="仿宋" w:eastAsia="仿宋" w:cs="仿宋"/>
          <w:color w:val="auto"/>
          <w:kern w:val="0"/>
          <w:sz w:val="32"/>
          <w:szCs w:val="32"/>
          <w:u w:val="none"/>
        </w:rPr>
        <w:t>：</w:t>
      </w:r>
    </w:p>
    <w:tbl>
      <w:tblPr>
        <w:tblStyle w:val="19"/>
        <w:tblW w:w="3699" w:type="pct"/>
        <w:jc w:val="center"/>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639"/>
        <w:gridCol w:w="3374"/>
        <w:gridCol w:w="3225"/>
      </w:tblGrid>
      <w:tr w14:paraId="16F92ABE">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460" w:hRule="atLeast"/>
          <w:tblHeader/>
          <w:jc w:val="center"/>
        </w:trPr>
        <w:tc>
          <w:tcPr>
            <w:tcW w:w="441" w:type="pct"/>
            <w:tcBorders>
              <w:bottom w:val="inset" w:color="808080" w:sz="6" w:space="0"/>
              <w:right w:val="inset" w:color="808080" w:sz="6" w:space="0"/>
            </w:tcBorders>
            <w:noWrap w:val="0"/>
            <w:tcMar>
              <w:top w:w="22" w:type="dxa"/>
              <w:left w:w="22" w:type="dxa"/>
              <w:bottom w:w="22" w:type="dxa"/>
              <w:right w:w="22" w:type="dxa"/>
            </w:tcMar>
            <w:vAlign w:val="center"/>
          </w:tcPr>
          <w:p w14:paraId="2D849C08">
            <w:pPr>
              <w:pageBreakBefore w:val="0"/>
              <w:widowControl/>
              <w:kinsoku/>
              <w:wordWrap/>
              <w:overflowPunct/>
              <w:topLinePunct w:val="0"/>
              <w:autoSpaceDE/>
              <w:autoSpaceDN/>
              <w:bidi w:val="0"/>
              <w:spacing w:line="560" w:lineRule="exact"/>
              <w:jc w:val="center"/>
              <w:rPr>
                <w:rFonts w:ascii="Times New Roman" w:hAnsi="Times New Roman" w:eastAsia="Times New Roman" w:cs="Times New Roman"/>
                <w:b w:val="0"/>
                <w:bCs w:val="0"/>
                <w:i w:val="0"/>
                <w:iCs w:val="0"/>
                <w:smallCaps w:val="0"/>
                <w:color w:val="auto"/>
                <w:kern w:val="0"/>
                <w:sz w:val="24"/>
                <w:u w:val="none"/>
              </w:rPr>
            </w:pPr>
            <w:r>
              <w:rPr>
                <w:rFonts w:ascii="方正楷体_GB2312" w:hAnsi="方正楷体_GB2312" w:eastAsia="方正楷体_GB2312" w:cs="方正楷体_GB2312"/>
                <w:b w:val="0"/>
                <w:bCs w:val="0"/>
                <w:i w:val="0"/>
                <w:iCs w:val="0"/>
                <w:smallCaps w:val="0"/>
                <w:color w:val="auto"/>
                <w:kern w:val="0"/>
                <w:sz w:val="24"/>
                <w:u w:val="none"/>
              </w:rPr>
              <w:t>序号</w:t>
            </w:r>
          </w:p>
        </w:tc>
        <w:tc>
          <w:tcPr>
            <w:tcW w:w="2330" w:type="pct"/>
            <w:tcBorders>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41C23777">
            <w:pPr>
              <w:pageBreakBefore w:val="0"/>
              <w:widowControl/>
              <w:kinsoku/>
              <w:wordWrap/>
              <w:overflowPunct/>
              <w:topLinePunct w:val="0"/>
              <w:autoSpaceDE/>
              <w:autoSpaceDN/>
              <w:bidi w:val="0"/>
              <w:spacing w:line="560" w:lineRule="exact"/>
              <w:jc w:val="center"/>
              <w:rPr>
                <w:rFonts w:ascii="Times New Roman" w:hAnsi="Times New Roman" w:eastAsia="Times New Roman" w:cs="Times New Roman"/>
                <w:b w:val="0"/>
                <w:bCs w:val="0"/>
                <w:i w:val="0"/>
                <w:iCs w:val="0"/>
                <w:smallCaps w:val="0"/>
                <w:color w:val="auto"/>
                <w:kern w:val="0"/>
                <w:sz w:val="24"/>
                <w:u w:val="none"/>
              </w:rPr>
            </w:pPr>
            <w:r>
              <w:rPr>
                <w:rFonts w:ascii="方正楷体_GB2312" w:hAnsi="方正楷体_GB2312" w:eastAsia="方正楷体_GB2312" w:cs="方正楷体_GB2312"/>
                <w:b w:val="0"/>
                <w:bCs w:val="0"/>
                <w:i w:val="0"/>
                <w:iCs w:val="0"/>
                <w:smallCaps w:val="0"/>
                <w:color w:val="auto"/>
                <w:kern w:val="0"/>
                <w:sz w:val="24"/>
                <w:u w:val="none"/>
              </w:rPr>
              <w:t>单位名称</w:t>
            </w:r>
          </w:p>
        </w:tc>
        <w:tc>
          <w:tcPr>
            <w:tcW w:w="2227" w:type="pct"/>
            <w:tcBorders>
              <w:left w:val="inset" w:color="808080" w:sz="6" w:space="0"/>
              <w:bottom w:val="inset" w:color="808080" w:sz="6" w:space="0"/>
            </w:tcBorders>
            <w:noWrap w:val="0"/>
            <w:tcMar>
              <w:top w:w="22" w:type="dxa"/>
              <w:left w:w="22" w:type="dxa"/>
              <w:bottom w:w="22" w:type="dxa"/>
              <w:right w:w="22" w:type="dxa"/>
            </w:tcMar>
            <w:vAlign w:val="center"/>
          </w:tcPr>
          <w:p w14:paraId="5B6CF1EB">
            <w:pPr>
              <w:pageBreakBefore w:val="0"/>
              <w:widowControl/>
              <w:kinsoku/>
              <w:wordWrap/>
              <w:overflowPunct/>
              <w:topLinePunct w:val="0"/>
              <w:autoSpaceDE/>
              <w:autoSpaceDN/>
              <w:bidi w:val="0"/>
              <w:spacing w:line="560" w:lineRule="exact"/>
              <w:jc w:val="center"/>
              <w:rPr>
                <w:rFonts w:ascii="Times New Roman" w:hAnsi="Times New Roman" w:eastAsia="Times New Roman" w:cs="Times New Roman"/>
                <w:b w:val="0"/>
                <w:bCs w:val="0"/>
                <w:i w:val="0"/>
                <w:iCs w:val="0"/>
                <w:smallCaps w:val="0"/>
                <w:color w:val="auto"/>
                <w:kern w:val="0"/>
                <w:sz w:val="24"/>
                <w:u w:val="none"/>
              </w:rPr>
            </w:pPr>
            <w:r>
              <w:rPr>
                <w:rFonts w:ascii="方正楷体_GB2312" w:hAnsi="方正楷体_GB2312" w:eastAsia="方正楷体_GB2312" w:cs="方正楷体_GB2312"/>
                <w:b w:val="0"/>
                <w:bCs w:val="0"/>
                <w:i w:val="0"/>
                <w:iCs w:val="0"/>
                <w:smallCaps w:val="0"/>
                <w:color w:val="auto"/>
                <w:kern w:val="0"/>
                <w:sz w:val="24"/>
                <w:u w:val="none"/>
              </w:rPr>
              <w:t>单位性质</w:t>
            </w:r>
          </w:p>
        </w:tc>
      </w:tr>
      <w:tr w14:paraId="16F9596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369" w:hRule="atLeast"/>
          <w:jc w:val="center"/>
        </w:trPr>
        <w:tc>
          <w:tcPr>
            <w:tcW w:w="441" w:type="pct"/>
            <w:tcBorders>
              <w:top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2C57AEDD">
            <w:pPr>
              <w:pageBreakBefore w:val="0"/>
              <w:widowControl/>
              <w:kinsoku/>
              <w:wordWrap/>
              <w:overflowPunct/>
              <w:topLinePunct w:val="0"/>
              <w:autoSpaceDE/>
              <w:autoSpaceDN/>
              <w:bidi w:val="0"/>
              <w:spacing w:line="560" w:lineRule="exact"/>
              <w:jc w:val="center"/>
              <w:rPr>
                <w:rFonts w:ascii="Times New Roman" w:hAnsi="Times New Roman" w:eastAsia="Times New Roman" w:cs="Times New Roman"/>
                <w:b w:val="0"/>
                <w:bCs w:val="0"/>
                <w:i w:val="0"/>
                <w:iCs w:val="0"/>
                <w:smallCaps w:val="0"/>
                <w:color w:val="auto"/>
                <w:kern w:val="0"/>
                <w:sz w:val="24"/>
                <w:u w:val="none"/>
              </w:rPr>
            </w:pPr>
            <w:r>
              <w:rPr>
                <w:rFonts w:ascii="方正楷体_GB2312" w:hAnsi="方正楷体_GB2312" w:eastAsia="方正楷体_GB2312" w:cs="方正楷体_GB2312"/>
                <w:b w:val="0"/>
                <w:bCs w:val="0"/>
                <w:i w:val="0"/>
                <w:iCs w:val="0"/>
                <w:smallCaps w:val="0"/>
                <w:color w:val="auto"/>
                <w:kern w:val="0"/>
                <w:sz w:val="24"/>
                <w:u w:val="none"/>
              </w:rPr>
              <w:t>1</w:t>
            </w:r>
          </w:p>
        </w:tc>
        <w:tc>
          <w:tcPr>
            <w:tcW w:w="2330" w:type="pct"/>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0C6BE5CC">
            <w:pPr>
              <w:pageBreakBefore w:val="0"/>
              <w:widowControl/>
              <w:kinsoku/>
              <w:wordWrap/>
              <w:overflowPunct/>
              <w:topLinePunct w:val="0"/>
              <w:autoSpaceDE/>
              <w:autoSpaceDN/>
              <w:bidi w:val="0"/>
              <w:spacing w:line="560" w:lineRule="exact"/>
              <w:jc w:val="left"/>
              <w:rPr>
                <w:rFonts w:ascii="Times New Roman" w:hAnsi="Times New Roman" w:eastAsia="Times New Roman" w:cs="Times New Roman"/>
                <w:b w:val="0"/>
                <w:bCs w:val="0"/>
                <w:i w:val="0"/>
                <w:iCs w:val="0"/>
                <w:smallCaps w:val="0"/>
                <w:color w:val="auto"/>
                <w:kern w:val="0"/>
                <w:sz w:val="24"/>
                <w:u w:val="none"/>
              </w:rPr>
            </w:pPr>
            <w:r>
              <w:rPr>
                <w:rFonts w:hint="eastAsia" w:ascii="仿宋" w:hAnsi="仿宋" w:eastAsia="仿宋" w:cs="仿宋"/>
                <w:color w:val="auto"/>
                <w:kern w:val="0"/>
                <w:sz w:val="32"/>
                <w:szCs w:val="32"/>
                <w:u w:val="none"/>
              </w:rPr>
              <w:t>乌拉特后旗社会保险事业服务中心</w:t>
            </w:r>
          </w:p>
        </w:tc>
        <w:tc>
          <w:tcPr>
            <w:tcW w:w="2227" w:type="pct"/>
            <w:tcBorders>
              <w:top w:val="inset" w:color="808080" w:sz="6" w:space="0"/>
              <w:left w:val="inset" w:color="808080" w:sz="6" w:space="0"/>
              <w:bottom w:val="inset" w:color="808080" w:sz="6" w:space="0"/>
            </w:tcBorders>
            <w:shd w:val="clear" w:color="auto" w:fill="auto"/>
            <w:noWrap w:val="0"/>
            <w:tcMar>
              <w:top w:w="22" w:type="dxa"/>
              <w:left w:w="22" w:type="dxa"/>
              <w:bottom w:w="22" w:type="dxa"/>
              <w:right w:w="22" w:type="dxa"/>
            </w:tcMar>
            <w:vAlign w:val="center"/>
          </w:tcPr>
          <w:p w14:paraId="6AEFC429">
            <w:pPr>
              <w:pageBreakBefore w:val="0"/>
              <w:widowControl/>
              <w:kinsoku/>
              <w:wordWrap/>
              <w:overflowPunct/>
              <w:topLinePunct w:val="0"/>
              <w:autoSpaceDE/>
              <w:autoSpaceDN/>
              <w:bidi w:val="0"/>
              <w:spacing w:line="560" w:lineRule="exact"/>
              <w:jc w:val="left"/>
              <w:rPr>
                <w:rFonts w:ascii="Times New Roman" w:hAnsi="Times New Roman" w:eastAsia="Times New Roman" w:cs="Times New Roman"/>
                <w:b w:val="0"/>
                <w:bCs w:val="0"/>
                <w:i w:val="0"/>
                <w:iCs w:val="0"/>
                <w:smallCaps w:val="0"/>
                <w:color w:val="auto"/>
                <w:kern w:val="0"/>
                <w:sz w:val="24"/>
                <w:szCs w:val="24"/>
                <w:u w:val="none"/>
                <w:lang w:val="en-US" w:eastAsia="zh-CN" w:bidi="ar-SA"/>
              </w:rPr>
            </w:pPr>
            <w:r>
              <w:rPr>
                <w:rFonts w:ascii="方正楷体_GB2312" w:hAnsi="方正楷体_GB2312" w:eastAsia="方正楷体_GB2312" w:cs="方正楷体_GB2312"/>
                <w:b w:val="0"/>
                <w:bCs w:val="0"/>
                <w:i w:val="0"/>
                <w:iCs w:val="0"/>
                <w:smallCaps w:val="0"/>
                <w:color w:val="auto"/>
                <w:kern w:val="0"/>
                <w:sz w:val="24"/>
                <w:u w:val="none"/>
              </w:rPr>
              <w:t>参照公务员法管理的事业单位</w:t>
            </w:r>
          </w:p>
        </w:tc>
      </w:tr>
    </w:tbl>
    <w:p w14:paraId="35F231E6">
      <w:pPr>
        <w:pageBreakBefore w:val="0"/>
        <w:widowControl/>
        <w:kinsoku/>
        <w:wordWrap/>
        <w:overflowPunct/>
        <w:topLinePunct w:val="0"/>
        <w:autoSpaceDE/>
        <w:autoSpaceDN/>
        <w:bidi w:val="0"/>
        <w:spacing w:before="240" w:after="240" w:line="560" w:lineRule="exact"/>
        <w:jc w:val="left"/>
        <w:rPr>
          <w:rFonts w:ascii="黑体" w:hAnsi="黑体" w:eastAsia="黑体" w:cs="黑体"/>
          <w:b/>
          <w:bCs/>
          <w:color w:val="auto"/>
          <w:kern w:val="0"/>
          <w:sz w:val="27"/>
          <w:szCs w:val="27"/>
          <w:u w:val="none"/>
        </w:rPr>
      </w:pPr>
      <w:r>
        <w:rPr>
          <w:rFonts w:ascii="方正楷体_GB2312" w:hAnsi="方正楷体_GB2312" w:eastAsia="方正楷体_GB2312" w:cs="方正楷体_GB2312"/>
          <w:color w:val="auto"/>
          <w:kern w:val="0"/>
          <w:sz w:val="27"/>
          <w:szCs w:val="27"/>
          <w:u w:val="none"/>
        </w:rPr>
        <w:t> </w:t>
      </w:r>
      <w:r>
        <w:rPr>
          <w:rFonts w:ascii="方正楷体_GB2312" w:hAnsi="方正楷体_GB2312" w:eastAsia="方正楷体_GB2312" w:cs="方正楷体_GB2312"/>
          <w:color w:val="auto"/>
          <w:kern w:val="0"/>
          <w:sz w:val="32"/>
          <w:szCs w:val="32"/>
          <w:u w:val="none"/>
        </w:rPr>
        <w:t> </w:t>
      </w:r>
      <w:r>
        <w:rPr>
          <w:rFonts w:ascii="黑体" w:hAnsi="黑体" w:eastAsia="黑体" w:cs="黑体"/>
          <w:b/>
          <w:bCs/>
          <w:color w:val="auto"/>
          <w:kern w:val="0"/>
          <w:sz w:val="32"/>
          <w:szCs w:val="32"/>
          <w:u w:val="none"/>
        </w:rPr>
        <w:t>三、2023年度</w:t>
      </w:r>
      <w:r>
        <w:rPr>
          <w:rFonts w:hint="eastAsia" w:ascii="黑体" w:hAnsi="黑体" w:eastAsia="黑体" w:cs="黑体"/>
          <w:b/>
          <w:bCs/>
          <w:color w:val="auto"/>
          <w:kern w:val="0"/>
          <w:sz w:val="32"/>
          <w:szCs w:val="32"/>
          <w:u w:val="none"/>
          <w:lang w:eastAsia="zh-CN"/>
        </w:rPr>
        <w:t>单位</w:t>
      </w:r>
      <w:r>
        <w:rPr>
          <w:rFonts w:ascii="黑体" w:hAnsi="黑体" w:eastAsia="黑体" w:cs="黑体"/>
          <w:b/>
          <w:bCs/>
          <w:color w:val="auto"/>
          <w:kern w:val="0"/>
          <w:sz w:val="32"/>
          <w:szCs w:val="32"/>
          <w:u w:val="none"/>
        </w:rPr>
        <w:t>主要工作完成情况</w:t>
      </w:r>
    </w:p>
    <w:p w14:paraId="40DEE27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2023</w:t>
      </w:r>
      <w:r>
        <w:rPr>
          <w:rFonts w:hint="eastAsia" w:ascii="仿宋_GB2312" w:hAnsi="仿宋_GB2312" w:eastAsia="仿宋_GB2312" w:cs="仿宋_GB2312"/>
          <w:color w:val="auto"/>
          <w:sz w:val="32"/>
          <w:szCs w:val="32"/>
          <w:highlight w:val="none"/>
          <w:u w:val="none"/>
        </w:rPr>
        <w:t>年，我旗社会保险工作在旗委、政府</w:t>
      </w:r>
      <w:r>
        <w:rPr>
          <w:rFonts w:hint="eastAsia" w:ascii="仿宋_GB2312" w:hAnsi="仿宋_GB2312" w:eastAsia="仿宋_GB2312" w:cs="仿宋_GB2312"/>
          <w:color w:val="auto"/>
          <w:sz w:val="32"/>
          <w:szCs w:val="32"/>
          <w:highlight w:val="none"/>
          <w:u w:val="none"/>
          <w:lang w:val="en-US" w:eastAsia="zh-CN"/>
        </w:rPr>
        <w:t>和人社局党委</w:t>
      </w:r>
      <w:r>
        <w:rPr>
          <w:rFonts w:hint="eastAsia" w:ascii="仿宋_GB2312" w:hAnsi="仿宋_GB2312" w:eastAsia="仿宋_GB2312" w:cs="仿宋_GB2312"/>
          <w:color w:val="auto"/>
          <w:sz w:val="32"/>
          <w:szCs w:val="32"/>
          <w:highlight w:val="none"/>
          <w:u w:val="none"/>
        </w:rPr>
        <w:t>的正确领导</w:t>
      </w:r>
      <w:r>
        <w:rPr>
          <w:rFonts w:hint="eastAsia" w:ascii="仿宋_GB2312" w:hAnsi="仿宋_GB2312" w:eastAsia="仿宋_GB2312" w:cs="仿宋_GB2312"/>
          <w:color w:val="auto"/>
          <w:sz w:val="32"/>
          <w:szCs w:val="32"/>
          <w:highlight w:val="none"/>
          <w:u w:val="none"/>
          <w:lang w:val="en-US" w:eastAsia="zh-CN"/>
        </w:rPr>
        <w:t>下，在</w:t>
      </w:r>
      <w:r>
        <w:rPr>
          <w:rFonts w:hint="eastAsia" w:ascii="仿宋_GB2312" w:hAnsi="仿宋_GB2312" w:eastAsia="仿宋_GB2312" w:cs="仿宋_GB2312"/>
          <w:color w:val="auto"/>
          <w:sz w:val="32"/>
          <w:szCs w:val="32"/>
          <w:highlight w:val="none"/>
          <w:u w:val="none"/>
        </w:rPr>
        <w:t>上级业务部门的</w:t>
      </w:r>
      <w:r>
        <w:rPr>
          <w:rFonts w:hint="eastAsia" w:ascii="仿宋_GB2312" w:hAnsi="仿宋_GB2312" w:eastAsia="仿宋_GB2312" w:cs="仿宋_GB2312"/>
          <w:color w:val="auto"/>
          <w:sz w:val="32"/>
          <w:szCs w:val="32"/>
          <w:highlight w:val="none"/>
          <w:u w:val="none"/>
          <w:lang w:val="en-US" w:eastAsia="zh-CN"/>
        </w:rPr>
        <w:t>大</w:t>
      </w:r>
      <w:r>
        <w:rPr>
          <w:rFonts w:hint="eastAsia" w:ascii="仿宋_GB2312" w:hAnsi="仿宋_GB2312" w:eastAsia="仿宋_GB2312" w:cs="仿宋_GB2312"/>
          <w:color w:val="auto"/>
          <w:sz w:val="32"/>
          <w:szCs w:val="32"/>
          <w:highlight w:val="none"/>
          <w:u w:val="none"/>
        </w:rPr>
        <w:t>力指导下，</w:t>
      </w:r>
      <w:r>
        <w:rPr>
          <w:rFonts w:hint="eastAsia" w:ascii="仿宋_GB2312" w:hAnsi="仿宋_GB2312" w:eastAsia="仿宋_GB2312" w:cs="仿宋_GB2312"/>
          <w:color w:val="auto"/>
          <w:sz w:val="32"/>
          <w:szCs w:val="32"/>
          <w:highlight w:val="none"/>
          <w:u w:val="none"/>
          <w:lang w:val="en-US" w:eastAsia="zh-CN"/>
        </w:rPr>
        <w:t>我中心</w:t>
      </w:r>
      <w:r>
        <w:rPr>
          <w:rFonts w:hint="eastAsia" w:ascii="仿宋_GB2312" w:hAnsi="仿宋_GB2312" w:eastAsia="仿宋_GB2312" w:cs="仿宋_GB2312"/>
          <w:color w:val="auto"/>
          <w:sz w:val="32"/>
          <w:szCs w:val="32"/>
          <w:highlight w:val="none"/>
          <w:u w:val="none"/>
        </w:rPr>
        <w:t>干部职工</w:t>
      </w:r>
      <w:r>
        <w:rPr>
          <w:rFonts w:hint="eastAsia" w:ascii="仿宋_GB2312" w:hAnsi="仿宋_GB2312" w:eastAsia="仿宋_GB2312" w:cs="仿宋_GB2312"/>
          <w:color w:val="auto"/>
          <w:sz w:val="32"/>
          <w:szCs w:val="32"/>
          <w:highlight w:val="none"/>
          <w:u w:val="none"/>
          <w:lang w:val="en-US" w:eastAsia="zh-CN"/>
        </w:rPr>
        <w:t>勠力同心，紧紧围绕社会保险各项工作</w:t>
      </w:r>
      <w:r>
        <w:rPr>
          <w:rFonts w:hint="eastAsia" w:ascii="仿宋_GB2312" w:hAnsi="仿宋_GB2312" w:eastAsia="仿宋_GB2312" w:cs="仿宋_GB2312"/>
          <w:color w:val="auto"/>
          <w:sz w:val="32"/>
          <w:szCs w:val="32"/>
          <w:highlight w:val="none"/>
          <w:u w:val="none"/>
        </w:rPr>
        <w:t>，</w:t>
      </w:r>
      <w:r>
        <w:rPr>
          <w:rFonts w:hint="eastAsia" w:ascii="仿宋_GB2312" w:hAnsi="仿宋_GB2312" w:eastAsia="仿宋_GB2312" w:cs="仿宋_GB2312"/>
          <w:color w:val="auto"/>
          <w:sz w:val="32"/>
          <w:szCs w:val="32"/>
          <w:highlight w:val="none"/>
          <w:u w:val="none"/>
          <w:lang w:val="en-US" w:eastAsia="zh-CN"/>
        </w:rPr>
        <w:t>夯实基础，优化服务态度和服务方式，努力提升服务质量，全心全意服务广大参保单位和参保人员；</w:t>
      </w:r>
      <w:r>
        <w:rPr>
          <w:rFonts w:hint="eastAsia" w:ascii="仿宋_GB2312" w:hAnsi="仿宋_GB2312" w:eastAsia="仿宋_GB2312" w:cs="仿宋_GB2312"/>
          <w:color w:val="auto"/>
          <w:sz w:val="32"/>
          <w:szCs w:val="32"/>
          <w:highlight w:val="none"/>
          <w:u w:val="none"/>
        </w:rPr>
        <w:t>积极落实社保惠企政策，持续优化营商环境，加强社</w:t>
      </w:r>
      <w:r>
        <w:rPr>
          <w:rFonts w:hint="eastAsia" w:ascii="仿宋_GB2312" w:hAnsi="仿宋_GB2312" w:eastAsia="仿宋_GB2312" w:cs="仿宋_GB2312"/>
          <w:color w:val="auto"/>
          <w:sz w:val="32"/>
          <w:szCs w:val="32"/>
          <w:highlight w:val="none"/>
          <w:u w:val="none"/>
          <w:lang w:val="en-US" w:eastAsia="zh-CN"/>
        </w:rPr>
        <w:t>会保险</w:t>
      </w:r>
      <w:r>
        <w:rPr>
          <w:rFonts w:hint="eastAsia" w:ascii="仿宋_GB2312" w:hAnsi="仿宋_GB2312" w:eastAsia="仿宋_GB2312" w:cs="仿宋_GB2312"/>
          <w:color w:val="auto"/>
          <w:sz w:val="32"/>
          <w:szCs w:val="32"/>
          <w:highlight w:val="none"/>
          <w:u w:val="none"/>
        </w:rPr>
        <w:t>政策宣传力度，保障</w:t>
      </w:r>
      <w:r>
        <w:rPr>
          <w:rFonts w:hint="eastAsia" w:ascii="仿宋_GB2312" w:hAnsi="仿宋_GB2312" w:eastAsia="仿宋_GB2312" w:cs="仿宋_GB2312"/>
          <w:color w:val="auto"/>
          <w:sz w:val="32"/>
          <w:szCs w:val="32"/>
          <w:highlight w:val="none"/>
          <w:u w:val="none"/>
          <w:lang w:val="en-US" w:eastAsia="zh-CN"/>
        </w:rPr>
        <w:t>参保单位和参保人员权益积极</w:t>
      </w:r>
      <w:r>
        <w:rPr>
          <w:rFonts w:hint="eastAsia" w:ascii="仿宋_GB2312" w:hAnsi="仿宋_GB2312" w:eastAsia="仿宋_GB2312" w:cs="仿宋_GB2312"/>
          <w:color w:val="auto"/>
          <w:sz w:val="32"/>
          <w:szCs w:val="32"/>
          <w:highlight w:val="none"/>
          <w:u w:val="none"/>
        </w:rPr>
        <w:t>推</w:t>
      </w:r>
      <w:r>
        <w:rPr>
          <w:rFonts w:hint="eastAsia" w:ascii="仿宋_GB2312" w:hAnsi="仿宋_GB2312" w:eastAsia="仿宋_GB2312" w:cs="仿宋_GB2312"/>
          <w:color w:val="auto"/>
          <w:sz w:val="32"/>
          <w:szCs w:val="32"/>
          <w:highlight w:val="none"/>
          <w:u w:val="none"/>
          <w:lang w:val="en-US" w:eastAsia="zh-CN"/>
        </w:rPr>
        <w:t>进</w:t>
      </w:r>
      <w:r>
        <w:rPr>
          <w:rFonts w:hint="eastAsia" w:ascii="仿宋_GB2312" w:hAnsi="仿宋_GB2312" w:eastAsia="仿宋_GB2312" w:cs="仿宋_GB2312"/>
          <w:color w:val="auto"/>
          <w:sz w:val="32"/>
          <w:szCs w:val="32"/>
          <w:highlight w:val="none"/>
          <w:u w:val="none"/>
        </w:rPr>
        <w:t>社保卡的办理及使用，深入开展社会保险基金专项整治行动，</w:t>
      </w:r>
      <w:r>
        <w:rPr>
          <w:rFonts w:hint="eastAsia" w:ascii="仿宋_GB2312" w:hAnsi="仿宋_GB2312" w:eastAsia="仿宋_GB2312" w:cs="仿宋_GB2312"/>
          <w:color w:val="auto"/>
          <w:sz w:val="32"/>
          <w:szCs w:val="32"/>
          <w:u w:val="none"/>
          <w:lang w:val="en-US" w:eastAsia="zh-CN"/>
        </w:rPr>
        <w:t>全面落实社会保险基金风险防控措施和社会保险基金管理提升年行动，对基金风险提示和存疑数据进行全面核查，</w:t>
      </w:r>
      <w:r>
        <w:rPr>
          <w:rFonts w:hint="eastAsia" w:ascii="仿宋_GB2312" w:hAnsi="仿宋_GB2312" w:eastAsia="仿宋_GB2312" w:cs="仿宋_GB2312"/>
          <w:color w:val="auto"/>
          <w:sz w:val="32"/>
          <w:szCs w:val="32"/>
          <w:highlight w:val="none"/>
          <w:u w:val="none"/>
        </w:rPr>
        <w:t>筑牢</w:t>
      </w:r>
      <w:r>
        <w:rPr>
          <w:rFonts w:hint="eastAsia" w:ascii="仿宋_GB2312" w:hAnsi="仿宋_GB2312" w:eastAsia="仿宋_GB2312" w:cs="仿宋_GB2312"/>
          <w:color w:val="auto"/>
          <w:sz w:val="32"/>
          <w:szCs w:val="32"/>
          <w:highlight w:val="none"/>
          <w:u w:val="none"/>
          <w:lang w:val="en-US" w:eastAsia="zh-CN"/>
        </w:rPr>
        <w:t>社会保险</w:t>
      </w:r>
      <w:r>
        <w:rPr>
          <w:rFonts w:hint="eastAsia" w:ascii="仿宋_GB2312" w:hAnsi="仿宋_GB2312" w:eastAsia="仿宋_GB2312" w:cs="仿宋_GB2312"/>
          <w:color w:val="auto"/>
          <w:sz w:val="32"/>
          <w:szCs w:val="32"/>
          <w:highlight w:val="none"/>
          <w:u w:val="none"/>
        </w:rPr>
        <w:t>基金安全</w:t>
      </w:r>
      <w:r>
        <w:rPr>
          <w:rFonts w:hint="eastAsia" w:ascii="仿宋_GB2312" w:hAnsi="仿宋_GB2312" w:eastAsia="仿宋_GB2312" w:cs="仿宋_GB2312"/>
          <w:color w:val="auto"/>
          <w:sz w:val="32"/>
          <w:szCs w:val="32"/>
          <w:highlight w:val="none"/>
          <w:u w:val="none"/>
          <w:lang w:val="en-US" w:eastAsia="zh-CN"/>
        </w:rPr>
        <w:t>风险</w:t>
      </w:r>
      <w:r>
        <w:rPr>
          <w:rFonts w:hint="eastAsia" w:ascii="仿宋_GB2312" w:hAnsi="仿宋_GB2312" w:eastAsia="仿宋_GB2312" w:cs="仿宋_GB2312"/>
          <w:color w:val="auto"/>
          <w:sz w:val="32"/>
          <w:szCs w:val="32"/>
          <w:highlight w:val="none"/>
          <w:u w:val="none"/>
        </w:rPr>
        <w:t>防线。</w:t>
      </w:r>
      <w:r>
        <w:rPr>
          <w:rFonts w:hint="eastAsia" w:ascii="仿宋_GB2312" w:hAnsi="仿宋_GB2312" w:eastAsia="仿宋_GB2312" w:cs="仿宋_GB2312"/>
          <w:color w:val="auto"/>
          <w:sz w:val="32"/>
          <w:szCs w:val="32"/>
          <w:highlight w:val="none"/>
          <w:u w:val="none"/>
          <w:lang w:val="en-US" w:eastAsia="zh-CN"/>
        </w:rPr>
        <w:t>现对2023年度工作总结及2024年度工作安排如下：</w:t>
      </w:r>
    </w:p>
    <w:p w14:paraId="30E5B2DD">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黑体" w:hAnsi="黑体" w:eastAsia="黑体" w:cs="黑体"/>
          <w:color w:val="auto"/>
          <w:sz w:val="32"/>
          <w:szCs w:val="32"/>
          <w:u w:val="none"/>
          <w:lang w:val="en-US" w:eastAsia="zh-CN"/>
        </w:rPr>
      </w:pPr>
      <w:r>
        <w:rPr>
          <w:rFonts w:hint="eastAsia" w:ascii="黑体" w:hAnsi="黑体" w:eastAsia="黑体" w:cs="黑体"/>
          <w:b/>
          <w:bCs/>
          <w:color w:val="auto"/>
          <w:sz w:val="32"/>
          <w:szCs w:val="32"/>
          <w:u w:val="none"/>
          <w:shd w:val="clear" w:color="auto" w:fill="auto"/>
          <w:lang w:val="en-US" w:eastAsia="zh-CN"/>
        </w:rPr>
        <w:t>一、</w:t>
      </w:r>
      <w:r>
        <w:rPr>
          <w:rFonts w:hint="eastAsia" w:ascii="黑体" w:hAnsi="黑体" w:eastAsia="黑体" w:cs="黑体"/>
          <w:color w:val="auto"/>
          <w:sz w:val="32"/>
          <w:szCs w:val="32"/>
          <w:u w:val="none"/>
          <w:lang w:val="en-US" w:eastAsia="zh-CN"/>
        </w:rPr>
        <w:t>立足全民参保，稳步推进社会保险扩面工作，基金收入平稳有增，保险待遇按时足额发放。</w:t>
      </w:r>
    </w:p>
    <w:p w14:paraId="7B72DBC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截止</w:t>
      </w:r>
      <w:r>
        <w:rPr>
          <w:rFonts w:hint="default" w:ascii="仿宋_GB2312" w:hAnsi="仿宋_GB2312" w:eastAsia="仿宋_GB2312" w:cs="仿宋_GB2312"/>
          <w:color w:val="auto"/>
          <w:sz w:val="32"/>
          <w:szCs w:val="32"/>
          <w:highlight w:val="none"/>
          <w:u w:val="none"/>
          <w:lang w:val="en-US" w:eastAsia="zh-CN"/>
        </w:rPr>
        <w:t>12</w:t>
      </w:r>
      <w:r>
        <w:rPr>
          <w:rFonts w:hint="eastAsia" w:ascii="仿宋_GB2312" w:hAnsi="仿宋_GB2312" w:eastAsia="仿宋_GB2312" w:cs="仿宋_GB2312"/>
          <w:color w:val="auto"/>
          <w:sz w:val="32"/>
          <w:szCs w:val="32"/>
          <w:highlight w:val="none"/>
          <w:u w:val="none"/>
          <w:lang w:val="en-US" w:eastAsia="zh-CN"/>
        </w:rPr>
        <w:t>月底，全旗养老保险参保人数</w:t>
      </w:r>
      <w:r>
        <w:rPr>
          <w:rFonts w:hint="default" w:ascii="仿宋_GB2312" w:hAnsi="仿宋_GB2312" w:eastAsia="仿宋_GB2312" w:cs="仿宋_GB2312"/>
          <w:color w:val="auto"/>
          <w:sz w:val="32"/>
          <w:szCs w:val="32"/>
          <w:highlight w:val="none"/>
          <w:u w:val="none"/>
          <w:lang w:val="en-US" w:eastAsia="zh-CN"/>
        </w:rPr>
        <w:t>58110</w:t>
      </w:r>
      <w:r>
        <w:rPr>
          <w:rFonts w:hint="eastAsia" w:ascii="仿宋_GB2312" w:hAnsi="仿宋_GB2312" w:eastAsia="仿宋_GB2312" w:cs="仿宋_GB2312"/>
          <w:color w:val="auto"/>
          <w:sz w:val="32"/>
          <w:szCs w:val="32"/>
          <w:highlight w:val="none"/>
          <w:u w:val="none"/>
          <w:lang w:val="en-US" w:eastAsia="zh-CN"/>
        </w:rPr>
        <w:t>人，完成目标任务</w:t>
      </w:r>
      <w:r>
        <w:rPr>
          <w:rFonts w:hint="default" w:ascii="仿宋_GB2312" w:hAnsi="仿宋_GB2312" w:eastAsia="仿宋_GB2312" w:cs="仿宋_GB2312"/>
          <w:color w:val="auto"/>
          <w:sz w:val="32"/>
          <w:szCs w:val="32"/>
          <w:highlight w:val="none"/>
          <w:u w:val="none"/>
          <w:lang w:val="en-US" w:eastAsia="zh-CN"/>
        </w:rPr>
        <w:t>57493</w:t>
      </w:r>
      <w:r>
        <w:rPr>
          <w:rFonts w:hint="eastAsia" w:ascii="仿宋_GB2312" w:hAnsi="仿宋_GB2312" w:eastAsia="仿宋_GB2312" w:cs="仿宋_GB2312"/>
          <w:color w:val="auto"/>
          <w:sz w:val="32"/>
          <w:szCs w:val="32"/>
          <w:highlight w:val="none"/>
          <w:u w:val="none"/>
          <w:lang w:val="en-US" w:eastAsia="zh-CN"/>
        </w:rPr>
        <w:t>人的</w:t>
      </w:r>
      <w:r>
        <w:rPr>
          <w:rFonts w:hint="default" w:ascii="仿宋_GB2312" w:hAnsi="仿宋_GB2312" w:eastAsia="仿宋_GB2312" w:cs="仿宋_GB2312"/>
          <w:color w:val="auto"/>
          <w:sz w:val="32"/>
          <w:szCs w:val="32"/>
          <w:highlight w:val="none"/>
          <w:u w:val="none"/>
          <w:lang w:val="en-US" w:eastAsia="zh-CN"/>
        </w:rPr>
        <w:t>101.07%</w:t>
      </w:r>
      <w:r>
        <w:rPr>
          <w:rFonts w:hint="eastAsia" w:ascii="仿宋_GB2312" w:hAnsi="仿宋_GB2312" w:eastAsia="仿宋_GB2312" w:cs="仿宋_GB2312"/>
          <w:color w:val="auto"/>
          <w:sz w:val="32"/>
          <w:szCs w:val="32"/>
          <w:highlight w:val="none"/>
          <w:u w:val="none"/>
          <w:lang w:val="en-US" w:eastAsia="zh-CN"/>
        </w:rPr>
        <w:t>；城镇职工基本养老保险参保人数</w:t>
      </w:r>
      <w:r>
        <w:rPr>
          <w:rFonts w:hint="default" w:ascii="仿宋_GB2312" w:hAnsi="仿宋_GB2312" w:eastAsia="仿宋_GB2312" w:cs="仿宋_GB2312"/>
          <w:color w:val="auto"/>
          <w:sz w:val="32"/>
          <w:szCs w:val="32"/>
          <w:highlight w:val="none"/>
          <w:u w:val="none"/>
          <w:lang w:val="en-US" w:eastAsia="zh-CN"/>
        </w:rPr>
        <w:t>42</w:t>
      </w:r>
      <w:r>
        <w:rPr>
          <w:rFonts w:hint="eastAsia" w:ascii="仿宋_GB2312" w:hAnsi="仿宋_GB2312" w:eastAsia="仿宋_GB2312" w:cs="仿宋_GB2312"/>
          <w:color w:val="auto"/>
          <w:sz w:val="32"/>
          <w:szCs w:val="32"/>
          <w:highlight w:val="none"/>
          <w:u w:val="none"/>
          <w:lang w:val="en-US" w:eastAsia="zh-CN"/>
        </w:rPr>
        <w:t>832人，完成目标任务</w:t>
      </w:r>
      <w:r>
        <w:rPr>
          <w:rFonts w:hint="default" w:ascii="仿宋_GB2312" w:hAnsi="仿宋_GB2312" w:eastAsia="仿宋_GB2312" w:cs="仿宋_GB2312"/>
          <w:color w:val="auto"/>
          <w:sz w:val="32"/>
          <w:szCs w:val="32"/>
          <w:highlight w:val="none"/>
          <w:u w:val="none"/>
          <w:lang w:val="en-US" w:eastAsia="zh-CN"/>
        </w:rPr>
        <w:t>41094</w:t>
      </w:r>
      <w:r>
        <w:rPr>
          <w:rFonts w:hint="eastAsia" w:ascii="仿宋_GB2312" w:hAnsi="仿宋_GB2312" w:eastAsia="仿宋_GB2312" w:cs="仿宋_GB2312"/>
          <w:color w:val="auto"/>
          <w:sz w:val="32"/>
          <w:szCs w:val="32"/>
          <w:highlight w:val="none"/>
          <w:u w:val="none"/>
          <w:lang w:val="en-US" w:eastAsia="zh-CN"/>
        </w:rPr>
        <w:t>的</w:t>
      </w:r>
      <w:r>
        <w:rPr>
          <w:rFonts w:hint="default" w:ascii="仿宋_GB2312" w:hAnsi="仿宋_GB2312" w:eastAsia="仿宋_GB2312" w:cs="仿宋_GB2312"/>
          <w:color w:val="auto"/>
          <w:sz w:val="32"/>
          <w:szCs w:val="32"/>
          <w:highlight w:val="none"/>
          <w:u w:val="none"/>
          <w:lang w:val="en-US" w:eastAsia="zh-CN"/>
        </w:rPr>
        <w:t>1</w:t>
      </w:r>
      <w:r>
        <w:rPr>
          <w:rFonts w:hint="eastAsia" w:ascii="仿宋_GB2312" w:hAnsi="仿宋_GB2312" w:eastAsia="仿宋_GB2312" w:cs="仿宋_GB2312"/>
          <w:color w:val="auto"/>
          <w:sz w:val="32"/>
          <w:szCs w:val="32"/>
          <w:highlight w:val="none"/>
          <w:u w:val="none"/>
          <w:lang w:val="en-US" w:eastAsia="zh-CN"/>
        </w:rPr>
        <w:t>04.23</w:t>
      </w:r>
      <w:r>
        <w:rPr>
          <w:rFonts w:hint="default" w:ascii="仿宋_GB2312" w:hAnsi="仿宋_GB2312" w:eastAsia="仿宋_GB2312" w:cs="仿宋_GB2312"/>
          <w:color w:val="auto"/>
          <w:sz w:val="32"/>
          <w:szCs w:val="32"/>
          <w:highlight w:val="none"/>
          <w:u w:val="none"/>
          <w:lang w:val="en-US" w:eastAsia="zh-CN"/>
        </w:rPr>
        <w:t>%</w:t>
      </w:r>
      <w:r>
        <w:rPr>
          <w:rFonts w:hint="eastAsia" w:ascii="仿宋_GB2312" w:hAnsi="仿宋_GB2312" w:eastAsia="仿宋_GB2312" w:cs="仿宋_GB2312"/>
          <w:color w:val="auto"/>
          <w:sz w:val="32"/>
          <w:szCs w:val="32"/>
          <w:highlight w:val="none"/>
          <w:u w:val="none"/>
          <w:lang w:val="en-US" w:eastAsia="zh-CN"/>
        </w:rPr>
        <w:t>，其中企业职工养老保险参保人数23335人（不含离退休），完成目标任务</w:t>
      </w:r>
      <w:r>
        <w:rPr>
          <w:rFonts w:hint="default" w:ascii="仿宋_GB2312" w:hAnsi="仿宋_GB2312" w:eastAsia="仿宋_GB2312" w:cs="仿宋_GB2312"/>
          <w:color w:val="auto"/>
          <w:sz w:val="32"/>
          <w:szCs w:val="32"/>
          <w:highlight w:val="none"/>
          <w:u w:val="none"/>
          <w:lang w:val="en-US" w:eastAsia="zh-CN"/>
        </w:rPr>
        <w:t>22076</w:t>
      </w:r>
      <w:r>
        <w:rPr>
          <w:rFonts w:hint="eastAsia" w:ascii="仿宋_GB2312" w:hAnsi="仿宋_GB2312" w:eastAsia="仿宋_GB2312" w:cs="仿宋_GB2312"/>
          <w:color w:val="auto"/>
          <w:sz w:val="32"/>
          <w:szCs w:val="32"/>
          <w:highlight w:val="none"/>
          <w:u w:val="none"/>
          <w:lang w:val="en-US" w:eastAsia="zh-CN"/>
        </w:rPr>
        <w:t>人的</w:t>
      </w:r>
      <w:r>
        <w:rPr>
          <w:rFonts w:hint="default" w:ascii="仿宋_GB2312" w:hAnsi="仿宋_GB2312" w:eastAsia="仿宋_GB2312" w:cs="仿宋_GB2312"/>
          <w:color w:val="auto"/>
          <w:sz w:val="32"/>
          <w:szCs w:val="32"/>
          <w:highlight w:val="none"/>
          <w:u w:val="none"/>
          <w:lang w:val="en-US" w:eastAsia="zh-CN"/>
        </w:rPr>
        <w:t>105.</w:t>
      </w:r>
      <w:r>
        <w:rPr>
          <w:rFonts w:hint="eastAsia" w:ascii="仿宋_GB2312" w:hAnsi="仿宋_GB2312" w:eastAsia="仿宋_GB2312" w:cs="仿宋_GB2312"/>
          <w:color w:val="auto"/>
          <w:sz w:val="32"/>
          <w:szCs w:val="32"/>
          <w:highlight w:val="none"/>
          <w:u w:val="none"/>
          <w:lang w:val="en-US" w:eastAsia="zh-CN"/>
        </w:rPr>
        <w:t>70</w:t>
      </w:r>
      <w:r>
        <w:rPr>
          <w:rFonts w:hint="default" w:ascii="仿宋_GB2312" w:hAnsi="仿宋_GB2312" w:eastAsia="仿宋_GB2312" w:cs="仿宋_GB2312"/>
          <w:color w:val="auto"/>
          <w:sz w:val="32"/>
          <w:szCs w:val="32"/>
          <w:highlight w:val="none"/>
          <w:u w:val="none"/>
          <w:lang w:val="en-US" w:eastAsia="zh-CN"/>
        </w:rPr>
        <w:t>%</w:t>
      </w:r>
      <w:r>
        <w:rPr>
          <w:rFonts w:hint="eastAsia" w:ascii="仿宋_GB2312" w:hAnsi="仿宋_GB2312" w:eastAsia="仿宋_GB2312" w:cs="仿宋_GB2312"/>
          <w:color w:val="auto"/>
          <w:sz w:val="32"/>
          <w:szCs w:val="32"/>
          <w:highlight w:val="none"/>
          <w:u w:val="none"/>
          <w:lang w:val="en-US" w:eastAsia="zh-CN"/>
        </w:rPr>
        <w:t>，征缴养老保险费</w:t>
      </w:r>
      <w:r>
        <w:rPr>
          <w:rFonts w:hint="default" w:ascii="仿宋_GB2312" w:hAnsi="仿宋_GB2312" w:eastAsia="仿宋_GB2312" w:cs="仿宋_GB2312"/>
          <w:color w:val="auto"/>
          <w:sz w:val="32"/>
          <w:szCs w:val="32"/>
          <w:highlight w:val="none"/>
          <w:u w:val="none"/>
          <w:lang w:val="en-US" w:eastAsia="zh-CN"/>
        </w:rPr>
        <w:t>2.85</w:t>
      </w:r>
      <w:r>
        <w:rPr>
          <w:rFonts w:hint="eastAsia" w:ascii="仿宋_GB2312" w:hAnsi="仿宋_GB2312" w:eastAsia="仿宋_GB2312" w:cs="仿宋_GB2312"/>
          <w:color w:val="auto"/>
          <w:sz w:val="32"/>
          <w:szCs w:val="32"/>
          <w:highlight w:val="none"/>
          <w:u w:val="none"/>
          <w:lang w:val="en-US" w:eastAsia="zh-CN"/>
        </w:rPr>
        <w:t>亿元；企业离退休人员</w:t>
      </w:r>
      <w:r>
        <w:rPr>
          <w:rFonts w:hint="default" w:ascii="仿宋_GB2312" w:hAnsi="仿宋_GB2312" w:eastAsia="仿宋_GB2312" w:cs="仿宋_GB2312"/>
          <w:color w:val="auto"/>
          <w:sz w:val="32"/>
          <w:szCs w:val="32"/>
          <w:highlight w:val="none"/>
          <w:u w:val="none"/>
          <w:lang w:val="en-US" w:eastAsia="zh-CN"/>
        </w:rPr>
        <w:t>12608</w:t>
      </w:r>
      <w:r>
        <w:rPr>
          <w:rFonts w:hint="eastAsia" w:ascii="仿宋_GB2312" w:hAnsi="仿宋_GB2312" w:eastAsia="仿宋_GB2312" w:cs="仿宋_GB2312"/>
          <w:color w:val="auto"/>
          <w:sz w:val="32"/>
          <w:szCs w:val="32"/>
          <w:highlight w:val="none"/>
          <w:u w:val="none"/>
          <w:lang w:val="en-US" w:eastAsia="zh-CN"/>
        </w:rPr>
        <w:t>人，共支付待遇</w:t>
      </w:r>
      <w:r>
        <w:rPr>
          <w:rFonts w:hint="default" w:ascii="仿宋_GB2312" w:hAnsi="仿宋_GB2312" w:eastAsia="仿宋_GB2312" w:cs="仿宋_GB2312"/>
          <w:color w:val="auto"/>
          <w:sz w:val="32"/>
          <w:szCs w:val="32"/>
          <w:highlight w:val="none"/>
          <w:u w:val="none"/>
          <w:lang w:val="en-US" w:eastAsia="zh-CN"/>
        </w:rPr>
        <w:t>3.5</w:t>
      </w:r>
      <w:r>
        <w:rPr>
          <w:rFonts w:hint="eastAsia" w:ascii="仿宋_GB2312" w:hAnsi="仿宋_GB2312" w:eastAsia="仿宋_GB2312" w:cs="仿宋_GB2312"/>
          <w:color w:val="auto"/>
          <w:sz w:val="32"/>
          <w:szCs w:val="32"/>
          <w:highlight w:val="none"/>
          <w:u w:val="none"/>
          <w:lang w:val="en-US" w:eastAsia="zh-CN"/>
        </w:rPr>
        <w:t>亿元；机关养老保险参保</w:t>
      </w:r>
      <w:r>
        <w:rPr>
          <w:rFonts w:hint="default" w:ascii="仿宋_GB2312" w:hAnsi="仿宋_GB2312" w:eastAsia="仿宋_GB2312" w:cs="仿宋_GB2312"/>
          <w:color w:val="auto"/>
          <w:sz w:val="32"/>
          <w:szCs w:val="32"/>
          <w:highlight w:val="none"/>
          <w:u w:val="none"/>
          <w:lang w:val="en-US" w:eastAsia="zh-CN"/>
        </w:rPr>
        <w:t>6889</w:t>
      </w:r>
      <w:r>
        <w:rPr>
          <w:rFonts w:hint="eastAsia" w:ascii="仿宋_GB2312" w:hAnsi="仿宋_GB2312" w:eastAsia="仿宋_GB2312" w:cs="仿宋_GB2312"/>
          <w:color w:val="auto"/>
          <w:sz w:val="32"/>
          <w:szCs w:val="32"/>
          <w:highlight w:val="none"/>
          <w:u w:val="none"/>
          <w:lang w:val="en-US" w:eastAsia="zh-CN"/>
        </w:rPr>
        <w:t>人（其中在职人员</w:t>
      </w:r>
      <w:r>
        <w:rPr>
          <w:rFonts w:hint="default" w:ascii="仿宋_GB2312" w:hAnsi="仿宋_GB2312" w:eastAsia="仿宋_GB2312" w:cs="仿宋_GB2312"/>
          <w:color w:val="auto"/>
          <w:sz w:val="32"/>
          <w:szCs w:val="32"/>
          <w:highlight w:val="none"/>
          <w:u w:val="none"/>
          <w:lang w:val="en-US" w:eastAsia="zh-CN"/>
        </w:rPr>
        <w:t>4185</w:t>
      </w:r>
      <w:r>
        <w:rPr>
          <w:rFonts w:hint="eastAsia" w:ascii="仿宋_GB2312" w:hAnsi="仿宋_GB2312" w:eastAsia="仿宋_GB2312" w:cs="仿宋_GB2312"/>
          <w:color w:val="auto"/>
          <w:sz w:val="32"/>
          <w:szCs w:val="32"/>
          <w:highlight w:val="none"/>
          <w:u w:val="none"/>
          <w:lang w:val="en-US" w:eastAsia="zh-CN"/>
        </w:rPr>
        <w:t>人，退休人员</w:t>
      </w:r>
      <w:r>
        <w:rPr>
          <w:rFonts w:hint="default" w:ascii="仿宋_GB2312" w:hAnsi="仿宋_GB2312" w:eastAsia="仿宋_GB2312" w:cs="仿宋_GB2312"/>
          <w:color w:val="auto"/>
          <w:sz w:val="32"/>
          <w:szCs w:val="32"/>
          <w:highlight w:val="none"/>
          <w:u w:val="none"/>
          <w:lang w:val="en-US" w:eastAsia="zh-CN"/>
        </w:rPr>
        <w:t>2704</w:t>
      </w:r>
      <w:r>
        <w:rPr>
          <w:rFonts w:hint="eastAsia" w:ascii="仿宋_GB2312" w:hAnsi="仿宋_GB2312" w:eastAsia="仿宋_GB2312" w:cs="仿宋_GB2312"/>
          <w:color w:val="auto"/>
          <w:sz w:val="32"/>
          <w:szCs w:val="32"/>
          <w:highlight w:val="none"/>
          <w:u w:val="none"/>
          <w:lang w:val="en-US" w:eastAsia="zh-CN"/>
        </w:rPr>
        <w:t>人），征缴养老保险费</w:t>
      </w:r>
      <w:r>
        <w:rPr>
          <w:rFonts w:hint="default" w:ascii="仿宋_GB2312" w:hAnsi="仿宋_GB2312" w:eastAsia="仿宋_GB2312" w:cs="仿宋_GB2312"/>
          <w:color w:val="auto"/>
          <w:sz w:val="32"/>
          <w:szCs w:val="32"/>
          <w:highlight w:val="none"/>
          <w:u w:val="none"/>
          <w:lang w:val="en-US" w:eastAsia="zh-CN"/>
        </w:rPr>
        <w:t>8718</w:t>
      </w:r>
      <w:r>
        <w:rPr>
          <w:rFonts w:hint="eastAsia" w:ascii="仿宋_GB2312" w:hAnsi="仿宋_GB2312" w:eastAsia="仿宋_GB2312" w:cs="仿宋_GB2312"/>
          <w:color w:val="auto"/>
          <w:sz w:val="32"/>
          <w:szCs w:val="32"/>
          <w:highlight w:val="none"/>
          <w:u w:val="none"/>
          <w:lang w:val="en-US" w:eastAsia="zh-CN"/>
        </w:rPr>
        <w:t>万元，职业年金</w:t>
      </w:r>
      <w:r>
        <w:rPr>
          <w:rFonts w:hint="default" w:ascii="仿宋_GB2312" w:hAnsi="仿宋_GB2312" w:eastAsia="仿宋_GB2312" w:cs="仿宋_GB2312"/>
          <w:color w:val="auto"/>
          <w:sz w:val="32"/>
          <w:szCs w:val="32"/>
          <w:highlight w:val="none"/>
          <w:u w:val="none"/>
          <w:lang w:val="en-US" w:eastAsia="zh-CN"/>
        </w:rPr>
        <w:t>2748</w:t>
      </w:r>
      <w:r>
        <w:rPr>
          <w:rFonts w:hint="eastAsia" w:ascii="仿宋_GB2312" w:hAnsi="仿宋_GB2312" w:eastAsia="仿宋_GB2312" w:cs="仿宋_GB2312"/>
          <w:color w:val="auto"/>
          <w:sz w:val="32"/>
          <w:szCs w:val="32"/>
          <w:highlight w:val="none"/>
          <w:u w:val="none"/>
          <w:lang w:val="en-US" w:eastAsia="zh-CN"/>
        </w:rPr>
        <w:t>万元，发放养老金</w:t>
      </w:r>
      <w:r>
        <w:rPr>
          <w:rFonts w:hint="default" w:ascii="仿宋_GB2312" w:hAnsi="仿宋_GB2312" w:eastAsia="仿宋_GB2312" w:cs="仿宋_GB2312"/>
          <w:color w:val="auto"/>
          <w:sz w:val="32"/>
          <w:szCs w:val="32"/>
          <w:highlight w:val="none"/>
          <w:u w:val="none"/>
          <w:lang w:val="en-US" w:eastAsia="zh-CN"/>
        </w:rPr>
        <w:t>1.78</w:t>
      </w:r>
      <w:r>
        <w:rPr>
          <w:rFonts w:hint="eastAsia" w:ascii="仿宋_GB2312" w:hAnsi="仿宋_GB2312" w:eastAsia="仿宋_GB2312" w:cs="仿宋_GB2312"/>
          <w:color w:val="auto"/>
          <w:sz w:val="32"/>
          <w:szCs w:val="32"/>
          <w:highlight w:val="none"/>
          <w:u w:val="none"/>
          <w:lang w:val="en-US" w:eastAsia="zh-CN"/>
        </w:rPr>
        <w:t>亿元，机关事业单位职业年金补息资金全部到位（不包括国家及自治区驻旗单位）；城乡居民养老保险参保人数</w:t>
      </w:r>
      <w:r>
        <w:rPr>
          <w:rFonts w:hint="default" w:ascii="仿宋_GB2312" w:hAnsi="仿宋_GB2312" w:eastAsia="仿宋_GB2312" w:cs="仿宋_GB2312"/>
          <w:color w:val="auto"/>
          <w:sz w:val="32"/>
          <w:szCs w:val="32"/>
          <w:highlight w:val="none"/>
          <w:u w:val="none"/>
          <w:lang w:val="en-US" w:eastAsia="zh-CN"/>
        </w:rPr>
        <w:t>15422</w:t>
      </w:r>
      <w:r>
        <w:rPr>
          <w:rFonts w:hint="eastAsia" w:ascii="仿宋_GB2312" w:hAnsi="仿宋_GB2312" w:eastAsia="仿宋_GB2312" w:cs="仿宋_GB2312"/>
          <w:color w:val="auto"/>
          <w:sz w:val="32"/>
          <w:szCs w:val="32"/>
          <w:highlight w:val="none"/>
          <w:u w:val="none"/>
          <w:lang w:val="en-US" w:eastAsia="zh-CN"/>
        </w:rPr>
        <w:t>人，其中</w:t>
      </w:r>
      <w:r>
        <w:rPr>
          <w:rFonts w:hint="default" w:ascii="仿宋_GB2312" w:hAnsi="仿宋_GB2312" w:eastAsia="仿宋_GB2312" w:cs="仿宋_GB2312"/>
          <w:color w:val="auto"/>
          <w:sz w:val="32"/>
          <w:szCs w:val="32"/>
          <w:highlight w:val="none"/>
          <w:u w:val="none"/>
          <w:lang w:val="en-US" w:eastAsia="zh-CN"/>
        </w:rPr>
        <w:t>3486</w:t>
      </w:r>
      <w:r>
        <w:rPr>
          <w:rFonts w:hint="eastAsia" w:ascii="仿宋_GB2312" w:hAnsi="仿宋_GB2312" w:eastAsia="仿宋_GB2312" w:cs="仿宋_GB2312"/>
          <w:color w:val="auto"/>
          <w:sz w:val="32"/>
          <w:szCs w:val="32"/>
          <w:highlight w:val="none"/>
          <w:u w:val="none"/>
          <w:lang w:val="en-US" w:eastAsia="zh-CN"/>
        </w:rPr>
        <w:t>人领取养老金，征缴养老保险费</w:t>
      </w:r>
      <w:r>
        <w:rPr>
          <w:rFonts w:hint="default" w:ascii="仿宋_GB2312" w:hAnsi="仿宋_GB2312" w:eastAsia="仿宋_GB2312" w:cs="仿宋_GB2312"/>
          <w:color w:val="auto"/>
          <w:sz w:val="32"/>
          <w:szCs w:val="32"/>
          <w:highlight w:val="none"/>
          <w:u w:val="none"/>
          <w:lang w:val="en-US" w:eastAsia="zh-CN"/>
        </w:rPr>
        <w:t>1315.7</w:t>
      </w:r>
      <w:r>
        <w:rPr>
          <w:rFonts w:hint="eastAsia" w:ascii="仿宋_GB2312" w:hAnsi="仿宋_GB2312" w:eastAsia="仿宋_GB2312" w:cs="仿宋_GB2312"/>
          <w:color w:val="auto"/>
          <w:sz w:val="32"/>
          <w:szCs w:val="32"/>
          <w:highlight w:val="none"/>
          <w:u w:val="none"/>
          <w:lang w:val="en-US" w:eastAsia="zh-CN"/>
        </w:rPr>
        <w:t>万元，发放养老金</w:t>
      </w:r>
      <w:r>
        <w:rPr>
          <w:rFonts w:hint="default" w:ascii="仿宋_GB2312" w:hAnsi="仿宋_GB2312" w:eastAsia="仿宋_GB2312" w:cs="仿宋_GB2312"/>
          <w:color w:val="auto"/>
          <w:sz w:val="32"/>
          <w:szCs w:val="32"/>
          <w:highlight w:val="none"/>
          <w:u w:val="none"/>
          <w:lang w:val="en-US" w:eastAsia="zh-CN"/>
        </w:rPr>
        <w:t>841</w:t>
      </w:r>
      <w:r>
        <w:rPr>
          <w:rFonts w:hint="eastAsia" w:ascii="仿宋_GB2312" w:hAnsi="仿宋_GB2312" w:eastAsia="仿宋_GB2312" w:cs="仿宋_GB2312"/>
          <w:color w:val="auto"/>
          <w:sz w:val="32"/>
          <w:szCs w:val="32"/>
          <w:highlight w:val="none"/>
          <w:u w:val="none"/>
          <w:lang w:val="en-US" w:eastAsia="zh-CN"/>
        </w:rPr>
        <w:t>万元，为</w:t>
      </w:r>
      <w:r>
        <w:rPr>
          <w:rFonts w:hint="default" w:ascii="仿宋_GB2312" w:hAnsi="仿宋_GB2312" w:eastAsia="仿宋_GB2312" w:cs="仿宋_GB2312"/>
          <w:color w:val="auto"/>
          <w:sz w:val="32"/>
          <w:szCs w:val="32"/>
          <w:highlight w:val="none"/>
          <w:u w:val="none"/>
          <w:lang w:val="en-US" w:eastAsia="zh-CN"/>
        </w:rPr>
        <w:t>1564</w:t>
      </w:r>
      <w:r>
        <w:rPr>
          <w:rFonts w:hint="eastAsia" w:ascii="仿宋_GB2312" w:hAnsi="仿宋_GB2312" w:eastAsia="仿宋_GB2312" w:cs="仿宋_GB2312"/>
          <w:color w:val="auto"/>
          <w:sz w:val="32"/>
          <w:szCs w:val="32"/>
          <w:highlight w:val="none"/>
          <w:u w:val="none"/>
          <w:lang w:val="en-US" w:eastAsia="zh-CN"/>
        </w:rPr>
        <w:t>名困难居民代缴城乡居民养老保险费</w:t>
      </w:r>
      <w:r>
        <w:rPr>
          <w:rFonts w:hint="default" w:ascii="仿宋_GB2312" w:hAnsi="仿宋_GB2312" w:eastAsia="仿宋_GB2312" w:cs="仿宋_GB2312"/>
          <w:color w:val="auto"/>
          <w:sz w:val="32"/>
          <w:szCs w:val="32"/>
          <w:highlight w:val="none"/>
          <w:u w:val="none"/>
          <w:lang w:val="en-US" w:eastAsia="zh-CN"/>
        </w:rPr>
        <w:t>19.26</w:t>
      </w:r>
      <w:r>
        <w:rPr>
          <w:rFonts w:hint="eastAsia" w:ascii="仿宋_GB2312" w:hAnsi="仿宋_GB2312" w:eastAsia="仿宋_GB2312" w:cs="仿宋_GB2312"/>
          <w:color w:val="auto"/>
          <w:sz w:val="32"/>
          <w:szCs w:val="32"/>
          <w:highlight w:val="none"/>
          <w:u w:val="none"/>
          <w:lang w:val="en-US" w:eastAsia="zh-CN"/>
        </w:rPr>
        <w:t>万元；基本养老保险新增参保人数</w:t>
      </w:r>
      <w:r>
        <w:rPr>
          <w:rFonts w:hint="default" w:ascii="仿宋_GB2312" w:hAnsi="仿宋_GB2312" w:eastAsia="仿宋_GB2312" w:cs="仿宋_GB2312"/>
          <w:color w:val="auto"/>
          <w:sz w:val="32"/>
          <w:szCs w:val="32"/>
          <w:highlight w:val="none"/>
          <w:u w:val="none"/>
          <w:lang w:val="en-US" w:eastAsia="zh-CN"/>
        </w:rPr>
        <w:t>3413</w:t>
      </w:r>
      <w:r>
        <w:rPr>
          <w:rFonts w:hint="eastAsia" w:ascii="仿宋_GB2312" w:hAnsi="仿宋_GB2312" w:eastAsia="仿宋_GB2312" w:cs="仿宋_GB2312"/>
          <w:color w:val="auto"/>
          <w:sz w:val="32"/>
          <w:szCs w:val="32"/>
          <w:highlight w:val="none"/>
          <w:u w:val="none"/>
          <w:lang w:val="en-US" w:eastAsia="zh-CN"/>
        </w:rPr>
        <w:t>（企业职工养老保险新增</w:t>
      </w:r>
      <w:r>
        <w:rPr>
          <w:rFonts w:hint="default" w:ascii="仿宋_GB2312" w:hAnsi="仿宋_GB2312" w:eastAsia="仿宋_GB2312" w:cs="仿宋_GB2312"/>
          <w:color w:val="auto"/>
          <w:sz w:val="32"/>
          <w:szCs w:val="32"/>
          <w:highlight w:val="none"/>
          <w:u w:val="none"/>
          <w:lang w:val="en-US" w:eastAsia="zh-CN"/>
        </w:rPr>
        <w:t>3120</w:t>
      </w:r>
      <w:r>
        <w:rPr>
          <w:rFonts w:hint="eastAsia" w:ascii="仿宋_GB2312" w:hAnsi="仿宋_GB2312" w:eastAsia="仿宋_GB2312" w:cs="仿宋_GB2312"/>
          <w:color w:val="auto"/>
          <w:sz w:val="32"/>
          <w:szCs w:val="32"/>
          <w:highlight w:val="none"/>
          <w:u w:val="none"/>
          <w:lang w:val="en-US" w:eastAsia="zh-CN"/>
        </w:rPr>
        <w:t>人，机关事业单位职工养老保险新增</w:t>
      </w:r>
      <w:r>
        <w:rPr>
          <w:rFonts w:hint="default" w:ascii="仿宋_GB2312" w:hAnsi="仿宋_GB2312" w:eastAsia="仿宋_GB2312" w:cs="仿宋_GB2312"/>
          <w:color w:val="auto"/>
          <w:sz w:val="32"/>
          <w:szCs w:val="32"/>
          <w:highlight w:val="none"/>
          <w:u w:val="none"/>
          <w:lang w:val="en-US" w:eastAsia="zh-CN"/>
        </w:rPr>
        <w:t>72</w:t>
      </w:r>
      <w:r>
        <w:rPr>
          <w:rFonts w:hint="eastAsia" w:ascii="仿宋_GB2312" w:hAnsi="仿宋_GB2312" w:eastAsia="仿宋_GB2312" w:cs="仿宋_GB2312"/>
          <w:color w:val="auto"/>
          <w:sz w:val="32"/>
          <w:szCs w:val="32"/>
          <w:highlight w:val="none"/>
          <w:u w:val="none"/>
          <w:lang w:val="en-US" w:eastAsia="zh-CN"/>
        </w:rPr>
        <w:t>人，城乡居民养老保险新增</w:t>
      </w:r>
      <w:r>
        <w:rPr>
          <w:rFonts w:hint="default" w:ascii="仿宋_GB2312" w:hAnsi="仿宋_GB2312" w:eastAsia="仿宋_GB2312" w:cs="仿宋_GB2312"/>
          <w:color w:val="auto"/>
          <w:sz w:val="32"/>
          <w:szCs w:val="32"/>
          <w:highlight w:val="none"/>
          <w:u w:val="none"/>
          <w:lang w:val="en-US" w:eastAsia="zh-CN"/>
        </w:rPr>
        <w:t>221</w:t>
      </w:r>
      <w:r>
        <w:rPr>
          <w:rFonts w:hint="eastAsia" w:ascii="仿宋_GB2312" w:hAnsi="仿宋_GB2312" w:eastAsia="仿宋_GB2312" w:cs="仿宋_GB2312"/>
          <w:color w:val="auto"/>
          <w:sz w:val="32"/>
          <w:szCs w:val="32"/>
          <w:highlight w:val="none"/>
          <w:u w:val="none"/>
          <w:lang w:val="en-US" w:eastAsia="zh-CN"/>
        </w:rPr>
        <w:t>人），完成全民参保任务</w:t>
      </w:r>
      <w:r>
        <w:rPr>
          <w:rFonts w:hint="default" w:ascii="仿宋_GB2312" w:hAnsi="仿宋_GB2312" w:eastAsia="仿宋_GB2312" w:cs="仿宋_GB2312"/>
          <w:color w:val="auto"/>
          <w:sz w:val="32"/>
          <w:szCs w:val="32"/>
          <w:highlight w:val="none"/>
          <w:u w:val="none"/>
          <w:lang w:val="en-US" w:eastAsia="zh-CN"/>
        </w:rPr>
        <w:t>1122</w:t>
      </w:r>
      <w:r>
        <w:rPr>
          <w:rFonts w:hint="eastAsia" w:ascii="仿宋_GB2312" w:hAnsi="仿宋_GB2312" w:eastAsia="仿宋_GB2312" w:cs="仿宋_GB2312"/>
          <w:color w:val="auto"/>
          <w:sz w:val="32"/>
          <w:szCs w:val="32"/>
          <w:highlight w:val="none"/>
          <w:u w:val="none"/>
          <w:lang w:val="en-US" w:eastAsia="zh-CN"/>
        </w:rPr>
        <w:t>的</w:t>
      </w:r>
      <w:r>
        <w:rPr>
          <w:rFonts w:hint="default" w:ascii="仿宋_GB2312" w:hAnsi="仿宋_GB2312" w:eastAsia="仿宋_GB2312" w:cs="仿宋_GB2312"/>
          <w:color w:val="auto"/>
          <w:sz w:val="32"/>
          <w:szCs w:val="32"/>
          <w:highlight w:val="none"/>
          <w:u w:val="none"/>
          <w:lang w:val="en-US" w:eastAsia="zh-CN"/>
        </w:rPr>
        <w:t>328.75%</w:t>
      </w:r>
      <w:r>
        <w:rPr>
          <w:rFonts w:hint="eastAsia" w:ascii="仿宋_GB2312" w:hAnsi="仿宋_GB2312" w:eastAsia="仿宋_GB2312" w:cs="仿宋_GB2312"/>
          <w:color w:val="auto"/>
          <w:sz w:val="32"/>
          <w:szCs w:val="32"/>
          <w:highlight w:val="none"/>
          <w:u w:val="none"/>
          <w:lang w:val="en-US" w:eastAsia="zh-CN"/>
        </w:rPr>
        <w:t>。工伤保险参保人数为</w:t>
      </w:r>
      <w:r>
        <w:rPr>
          <w:rFonts w:hint="default" w:ascii="仿宋_GB2312" w:hAnsi="仿宋_GB2312" w:eastAsia="仿宋_GB2312" w:cs="仿宋_GB2312"/>
          <w:color w:val="auto"/>
          <w:sz w:val="32"/>
          <w:szCs w:val="32"/>
          <w:highlight w:val="none"/>
          <w:u w:val="none"/>
          <w:lang w:val="en-US" w:eastAsia="zh-CN"/>
        </w:rPr>
        <w:t>17280</w:t>
      </w:r>
      <w:r>
        <w:rPr>
          <w:rFonts w:hint="eastAsia" w:ascii="仿宋_GB2312" w:hAnsi="仿宋_GB2312" w:eastAsia="仿宋_GB2312" w:cs="仿宋_GB2312"/>
          <w:color w:val="auto"/>
          <w:sz w:val="32"/>
          <w:szCs w:val="32"/>
          <w:highlight w:val="none"/>
          <w:u w:val="none"/>
          <w:lang w:val="en-US" w:eastAsia="zh-CN"/>
        </w:rPr>
        <w:t>人，完成目标任务</w:t>
      </w:r>
      <w:r>
        <w:rPr>
          <w:rFonts w:hint="default" w:ascii="仿宋_GB2312" w:hAnsi="仿宋_GB2312" w:eastAsia="仿宋_GB2312" w:cs="仿宋_GB2312"/>
          <w:color w:val="auto"/>
          <w:sz w:val="32"/>
          <w:szCs w:val="32"/>
          <w:highlight w:val="none"/>
          <w:u w:val="none"/>
          <w:lang w:val="en-US" w:eastAsia="zh-CN"/>
        </w:rPr>
        <w:t>15800</w:t>
      </w:r>
      <w:r>
        <w:rPr>
          <w:rFonts w:hint="eastAsia" w:ascii="仿宋_GB2312" w:hAnsi="仿宋_GB2312" w:eastAsia="仿宋_GB2312" w:cs="仿宋_GB2312"/>
          <w:color w:val="auto"/>
          <w:sz w:val="32"/>
          <w:szCs w:val="32"/>
          <w:highlight w:val="none"/>
          <w:u w:val="none"/>
          <w:lang w:val="en-US" w:eastAsia="zh-CN"/>
        </w:rPr>
        <w:t>人的</w:t>
      </w:r>
      <w:r>
        <w:rPr>
          <w:rFonts w:hint="default" w:ascii="仿宋_GB2312" w:hAnsi="仿宋_GB2312" w:eastAsia="仿宋_GB2312" w:cs="仿宋_GB2312"/>
          <w:color w:val="auto"/>
          <w:sz w:val="32"/>
          <w:szCs w:val="32"/>
          <w:highlight w:val="none"/>
          <w:u w:val="none"/>
          <w:lang w:val="en-US" w:eastAsia="zh-CN"/>
        </w:rPr>
        <w:t>109.37%</w:t>
      </w:r>
      <w:r>
        <w:rPr>
          <w:rFonts w:hint="eastAsia" w:ascii="仿宋_GB2312" w:hAnsi="仿宋_GB2312" w:eastAsia="仿宋_GB2312" w:cs="仿宋_GB2312"/>
          <w:color w:val="auto"/>
          <w:sz w:val="32"/>
          <w:szCs w:val="32"/>
          <w:highlight w:val="none"/>
          <w:u w:val="none"/>
          <w:lang w:val="en-US" w:eastAsia="zh-CN"/>
        </w:rPr>
        <w:t>，新开工工程项目参保率为</w:t>
      </w:r>
      <w:r>
        <w:rPr>
          <w:rFonts w:hint="default" w:ascii="仿宋_GB2312" w:hAnsi="仿宋_GB2312" w:eastAsia="仿宋_GB2312" w:cs="仿宋_GB2312"/>
          <w:color w:val="auto"/>
          <w:sz w:val="32"/>
          <w:szCs w:val="32"/>
          <w:highlight w:val="none"/>
          <w:u w:val="none"/>
          <w:lang w:val="en-US" w:eastAsia="zh-CN"/>
        </w:rPr>
        <w:t>90%</w:t>
      </w:r>
      <w:r>
        <w:rPr>
          <w:rFonts w:hint="eastAsia" w:ascii="仿宋_GB2312" w:hAnsi="仿宋_GB2312" w:eastAsia="仿宋_GB2312" w:cs="仿宋_GB2312"/>
          <w:color w:val="auto"/>
          <w:sz w:val="32"/>
          <w:szCs w:val="32"/>
          <w:highlight w:val="none"/>
          <w:u w:val="none"/>
          <w:lang w:val="en-US" w:eastAsia="zh-CN"/>
        </w:rPr>
        <w:t>，征缴工伤保险费</w:t>
      </w:r>
      <w:r>
        <w:rPr>
          <w:rFonts w:hint="default" w:ascii="仿宋_GB2312" w:hAnsi="仿宋_GB2312" w:eastAsia="仿宋_GB2312" w:cs="仿宋_GB2312"/>
          <w:color w:val="auto"/>
          <w:sz w:val="32"/>
          <w:szCs w:val="32"/>
          <w:highlight w:val="none"/>
          <w:u w:val="none"/>
          <w:lang w:val="en-US" w:eastAsia="zh-CN"/>
        </w:rPr>
        <w:t>1592</w:t>
      </w:r>
      <w:r>
        <w:rPr>
          <w:rFonts w:hint="eastAsia" w:ascii="仿宋_GB2312" w:hAnsi="仿宋_GB2312" w:eastAsia="仿宋_GB2312" w:cs="仿宋_GB2312"/>
          <w:color w:val="auto"/>
          <w:sz w:val="32"/>
          <w:szCs w:val="32"/>
          <w:highlight w:val="none"/>
          <w:u w:val="none"/>
          <w:lang w:val="en-US" w:eastAsia="zh-CN"/>
        </w:rPr>
        <w:t>万元，支付工伤保险待遇</w:t>
      </w:r>
      <w:r>
        <w:rPr>
          <w:rFonts w:hint="default" w:ascii="仿宋_GB2312" w:hAnsi="仿宋_GB2312" w:eastAsia="仿宋_GB2312" w:cs="仿宋_GB2312"/>
          <w:color w:val="auto"/>
          <w:sz w:val="32"/>
          <w:szCs w:val="32"/>
          <w:highlight w:val="none"/>
          <w:u w:val="none"/>
          <w:lang w:val="en-US" w:eastAsia="zh-CN"/>
        </w:rPr>
        <w:t>4231</w:t>
      </w:r>
      <w:r>
        <w:rPr>
          <w:rFonts w:hint="eastAsia" w:ascii="仿宋_GB2312" w:hAnsi="仿宋_GB2312" w:eastAsia="仿宋_GB2312" w:cs="仿宋_GB2312"/>
          <w:color w:val="auto"/>
          <w:sz w:val="32"/>
          <w:szCs w:val="32"/>
          <w:highlight w:val="none"/>
          <w:u w:val="none"/>
          <w:lang w:val="en-US" w:eastAsia="zh-CN"/>
        </w:rPr>
        <w:t>万元。</w:t>
      </w:r>
    </w:p>
    <w:p w14:paraId="49D337CA">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u w:val="none"/>
          <w:lang w:val="en-US" w:eastAsia="zh-CN"/>
        </w:rPr>
      </w:pPr>
      <w:r>
        <w:rPr>
          <w:rFonts w:hint="eastAsia" w:ascii="黑体" w:hAnsi="黑体" w:eastAsia="黑体" w:cs="黑体"/>
          <w:color w:val="auto"/>
          <w:sz w:val="32"/>
          <w:szCs w:val="32"/>
          <w:u w:val="none"/>
          <w:lang w:val="en-US" w:eastAsia="zh-CN"/>
        </w:rPr>
        <w:t>二、强化稽核审计工作，保障社会保险基金安全。</w:t>
      </w:r>
    </w:p>
    <w:p w14:paraId="16CBC06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highlight w:val="none"/>
          <w:u w:val="none"/>
          <w:lang w:val="en-US" w:eastAsia="zh-CN"/>
        </w:rPr>
        <w:t>稽核工作紧紧围绕上级人社主管部门及本单位的总体工作部署，坚持以《社会保险稽核办法》为依据，以社会保险费的足额征缴和保证基金的安全运行为目标，不断加强社会保险费征缴和待遇支付的稽核监督力度，共完成了下发的</w:t>
      </w:r>
      <w:r>
        <w:rPr>
          <w:rFonts w:hint="default" w:ascii="仿宋_GB2312" w:hAnsi="仿宋_GB2312" w:eastAsia="仿宋_GB2312" w:cs="仿宋_GB2312"/>
          <w:color w:val="auto"/>
          <w:sz w:val="32"/>
          <w:szCs w:val="32"/>
          <w:highlight w:val="none"/>
          <w:u w:val="none"/>
          <w:lang w:val="en-US" w:eastAsia="zh-CN"/>
        </w:rPr>
        <w:t>9</w:t>
      </w:r>
      <w:r>
        <w:rPr>
          <w:rFonts w:hint="eastAsia" w:ascii="仿宋_GB2312" w:hAnsi="仿宋_GB2312" w:eastAsia="仿宋_GB2312" w:cs="仿宋_GB2312"/>
          <w:color w:val="auto"/>
          <w:sz w:val="32"/>
          <w:szCs w:val="32"/>
          <w:highlight w:val="none"/>
          <w:u w:val="none"/>
          <w:lang w:val="en-US" w:eastAsia="zh-CN"/>
        </w:rPr>
        <w:t>批次</w:t>
      </w:r>
      <w:r>
        <w:rPr>
          <w:rFonts w:hint="default" w:ascii="仿宋_GB2312" w:hAnsi="仿宋_GB2312" w:eastAsia="仿宋_GB2312" w:cs="仿宋_GB2312"/>
          <w:color w:val="auto"/>
          <w:sz w:val="32"/>
          <w:szCs w:val="32"/>
          <w:highlight w:val="none"/>
          <w:u w:val="none"/>
          <w:lang w:val="en-US" w:eastAsia="zh-CN"/>
        </w:rPr>
        <w:t>220</w:t>
      </w:r>
      <w:r>
        <w:rPr>
          <w:rFonts w:hint="eastAsia" w:ascii="仿宋_GB2312" w:hAnsi="仿宋_GB2312" w:eastAsia="仿宋_GB2312" w:cs="仿宋_GB2312"/>
          <w:color w:val="auto"/>
          <w:sz w:val="32"/>
          <w:szCs w:val="32"/>
          <w:highlight w:val="none"/>
          <w:u w:val="none"/>
          <w:lang w:val="en-US" w:eastAsia="zh-CN"/>
        </w:rPr>
        <w:t>条人社领域社保基金专项整改工作，追回死亡冒领、服刑冒领和重复冒领社保基金</w:t>
      </w:r>
      <w:r>
        <w:rPr>
          <w:rFonts w:hint="default" w:ascii="仿宋_GB2312" w:hAnsi="仿宋_GB2312" w:eastAsia="仿宋_GB2312" w:cs="仿宋_GB2312"/>
          <w:color w:val="auto"/>
          <w:sz w:val="32"/>
          <w:szCs w:val="32"/>
          <w:highlight w:val="none"/>
          <w:u w:val="none"/>
          <w:lang w:val="en-US" w:eastAsia="zh-CN"/>
        </w:rPr>
        <w:t>418.06</w:t>
      </w:r>
      <w:r>
        <w:rPr>
          <w:rFonts w:hint="eastAsia" w:ascii="仿宋_GB2312" w:hAnsi="仿宋_GB2312" w:eastAsia="仿宋_GB2312" w:cs="仿宋_GB2312"/>
          <w:color w:val="auto"/>
          <w:sz w:val="32"/>
          <w:szCs w:val="32"/>
          <w:highlight w:val="none"/>
          <w:u w:val="none"/>
          <w:lang w:val="en-US" w:eastAsia="zh-CN"/>
        </w:rPr>
        <w:t>万元；完成了自查的</w:t>
      </w:r>
      <w:r>
        <w:rPr>
          <w:rFonts w:hint="default" w:ascii="仿宋_GB2312" w:hAnsi="仿宋_GB2312" w:eastAsia="仿宋_GB2312" w:cs="仿宋_GB2312"/>
          <w:color w:val="auto"/>
          <w:sz w:val="32"/>
          <w:szCs w:val="32"/>
          <w:highlight w:val="none"/>
          <w:u w:val="none"/>
          <w:lang w:val="en-US" w:eastAsia="zh-CN"/>
        </w:rPr>
        <w:t>2</w:t>
      </w:r>
      <w:r>
        <w:rPr>
          <w:rFonts w:hint="eastAsia" w:ascii="仿宋_GB2312" w:hAnsi="仿宋_GB2312" w:eastAsia="仿宋_GB2312" w:cs="仿宋_GB2312"/>
          <w:color w:val="auto"/>
          <w:sz w:val="32"/>
          <w:szCs w:val="32"/>
          <w:highlight w:val="none"/>
          <w:u w:val="none"/>
          <w:lang w:val="en-US" w:eastAsia="zh-CN"/>
        </w:rPr>
        <w:t>批次</w:t>
      </w:r>
      <w:r>
        <w:rPr>
          <w:rFonts w:hint="default" w:ascii="仿宋_GB2312" w:hAnsi="仿宋_GB2312" w:eastAsia="仿宋_GB2312" w:cs="仿宋_GB2312"/>
          <w:color w:val="auto"/>
          <w:sz w:val="32"/>
          <w:szCs w:val="32"/>
          <w:highlight w:val="none"/>
          <w:u w:val="none"/>
          <w:lang w:val="en-US" w:eastAsia="zh-CN"/>
        </w:rPr>
        <w:t>56</w:t>
      </w:r>
      <w:r>
        <w:rPr>
          <w:rFonts w:hint="eastAsia" w:ascii="仿宋_GB2312" w:hAnsi="仿宋_GB2312" w:eastAsia="仿宋_GB2312" w:cs="仿宋_GB2312"/>
          <w:color w:val="auto"/>
          <w:sz w:val="32"/>
          <w:szCs w:val="32"/>
          <w:highlight w:val="none"/>
          <w:u w:val="none"/>
          <w:lang w:val="en-US" w:eastAsia="zh-CN"/>
        </w:rPr>
        <w:t>条统计数据专项整改工作。</w:t>
      </w:r>
    </w:p>
    <w:p w14:paraId="0CFA8E5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黑体" w:hAnsi="黑体" w:eastAsia="黑体" w:cs="黑体"/>
          <w:b w:val="0"/>
          <w:bCs w:val="0"/>
          <w:color w:val="auto"/>
          <w:sz w:val="32"/>
          <w:szCs w:val="32"/>
          <w:u w:val="none"/>
          <w:shd w:val="clear" w:color="auto" w:fill="auto"/>
          <w:lang w:val="en-US" w:eastAsia="zh-CN"/>
        </w:rPr>
      </w:pPr>
      <w:r>
        <w:rPr>
          <w:rFonts w:hint="eastAsia" w:ascii="黑体" w:hAnsi="黑体" w:eastAsia="黑体" w:cs="黑体"/>
          <w:b w:val="0"/>
          <w:bCs w:val="0"/>
          <w:color w:val="auto"/>
          <w:sz w:val="32"/>
          <w:szCs w:val="32"/>
          <w:u w:val="none"/>
          <w:shd w:val="clear" w:color="auto" w:fill="auto"/>
          <w:lang w:val="en-US" w:eastAsia="zh-CN"/>
        </w:rPr>
        <w:t>三、存在的主要问题</w:t>
      </w:r>
    </w:p>
    <w:p w14:paraId="79F2D1D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一）一是我旗采矿企业和高载能企业用工流动性大，外地人员较多，大多数职工只缴纳工伤险，没有缴纳养老保险。还有一部分企业离职人员因年龄偏小，所以不愿自己缴纳养老保险费，导致企业职工养老保险断保率高。二是我旗地域辽阔，人员居住分散，很多农牧民对于养老保险政策了解不足，养老保险政策宣传难度较大。</w:t>
      </w:r>
    </w:p>
    <w:p w14:paraId="2442D3F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（二）机关事业单位职工养老保险基金收不抵支，</w:t>
      </w:r>
      <w:r>
        <w:rPr>
          <w:rFonts w:hint="default" w:ascii="仿宋_GB2312" w:hAnsi="仿宋_GB2312" w:eastAsia="仿宋_GB2312" w:cs="仿宋_GB2312"/>
          <w:color w:val="auto"/>
          <w:sz w:val="32"/>
          <w:szCs w:val="32"/>
          <w:highlight w:val="none"/>
          <w:u w:val="none"/>
          <w:lang w:val="en-US" w:eastAsia="zh-CN"/>
        </w:rPr>
        <w:t>2023</w:t>
      </w:r>
      <w:r>
        <w:rPr>
          <w:rFonts w:hint="eastAsia" w:ascii="仿宋_GB2312" w:hAnsi="仿宋_GB2312" w:eastAsia="仿宋_GB2312" w:cs="仿宋_GB2312"/>
          <w:color w:val="auto"/>
          <w:sz w:val="32"/>
          <w:szCs w:val="32"/>
          <w:highlight w:val="none"/>
          <w:u w:val="none"/>
          <w:lang w:val="en-US" w:eastAsia="zh-CN"/>
        </w:rPr>
        <w:t>年度基金缺口为</w:t>
      </w:r>
      <w:r>
        <w:rPr>
          <w:rFonts w:hint="default" w:ascii="仿宋_GB2312" w:hAnsi="仿宋_GB2312" w:eastAsia="仿宋_GB2312" w:cs="仿宋_GB2312"/>
          <w:color w:val="auto"/>
          <w:sz w:val="32"/>
          <w:szCs w:val="32"/>
          <w:highlight w:val="none"/>
          <w:u w:val="none"/>
          <w:lang w:val="en-US" w:eastAsia="zh-CN"/>
        </w:rPr>
        <w:t>9000</w:t>
      </w:r>
      <w:r>
        <w:rPr>
          <w:rFonts w:hint="eastAsia" w:ascii="仿宋_GB2312" w:hAnsi="仿宋_GB2312" w:eastAsia="仿宋_GB2312" w:cs="仿宋_GB2312"/>
          <w:color w:val="auto"/>
          <w:sz w:val="32"/>
          <w:szCs w:val="32"/>
          <w:highlight w:val="none"/>
          <w:u w:val="none"/>
          <w:lang w:val="en-US" w:eastAsia="zh-CN"/>
        </w:rPr>
        <w:t>多万元，需旗财政兜底。</w:t>
      </w:r>
    </w:p>
    <w:p w14:paraId="59E8E59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（三）我旗工矿企业众多，而且大多为井下作业，工伤风险高，工伤（亡）发生率高，近几年职业病发病率也明显增加，机关事业单位职工受工伤率增多等因素导致发放工伤保险费用较大。</w:t>
      </w:r>
    </w:p>
    <w:p w14:paraId="2608AE3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四）城乡居民养老保险比职工养老保险待遇相对来说较低，待遇调整幅度也小，2023年增加了5元的基础养老金，导致人们参保的积极性低，大多数参保人员选择参加城镇职工养老保险，以期年老时有较高的养老待遇。</w:t>
      </w:r>
    </w:p>
    <w:p w14:paraId="65CDC11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lang w:val="en-US" w:eastAsia="zh-CN"/>
        </w:rPr>
        <w:t>（五）跨部门数据共享机制不健全，数据整合方式落后。表现为未参保人群的跨部门信息比对和共享存在一定壁垒，医保与人社、税务、民政、教育等部门之间的数据共享交换较为困难，特别是公安系统的人口数据难以获取，无法对未参保人员身份进行精准定位。即使在少数建立数据跨部门对接机制的地区，也多采取一次一议、临时拷贝的手工导入模式，存在较大安全隐患，可持续性不强。</w:t>
      </w:r>
    </w:p>
    <w:p w14:paraId="2F7B9269">
      <w:pPr>
        <w:pStyle w:val="4"/>
        <w:keepNext w:val="0"/>
        <w:keepLines w:val="0"/>
        <w:pageBreakBefore w:val="0"/>
        <w:widowControl/>
        <w:kinsoku/>
        <w:wordWrap/>
        <w:overflowPunct/>
        <w:topLinePunct w:val="0"/>
        <w:autoSpaceDE/>
        <w:autoSpaceDN/>
        <w:bidi w:val="0"/>
        <w:spacing w:before="299" w:after="299" w:line="560" w:lineRule="exact"/>
        <w:jc w:val="center"/>
        <w:rPr>
          <w:rFonts w:ascii="Times New Roman" w:hAnsi="Times New Roman" w:eastAsia="Times New Roman" w:cs="Times New Roman"/>
          <w:b/>
          <w:bCs/>
          <w:color w:val="auto"/>
          <w:kern w:val="0"/>
          <w:sz w:val="36"/>
          <w:szCs w:val="36"/>
          <w:u w:val="none"/>
        </w:rPr>
      </w:pPr>
      <w:r>
        <w:rPr>
          <w:rFonts w:ascii="fang_zheng_xiao_biao_song_ti" w:hAnsi="fang_zheng_xiao_biao_song_ti" w:eastAsia="fang_zheng_xiao_biao_song_ti" w:cs="fang_zheng_xiao_biao_song_ti"/>
          <w:color w:val="auto"/>
          <w:kern w:val="0"/>
          <w:sz w:val="36"/>
          <w:szCs w:val="36"/>
          <w:u w:val="none"/>
        </w:rPr>
        <w:t>第二部分 单位决算情况说明</w:t>
      </w:r>
    </w:p>
    <w:p w14:paraId="0B1F35DC">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Calibri" w:hAnsi="Calibri" w:eastAsia="Calibri" w:cs="Calibri"/>
          <w:b/>
          <w:bCs/>
          <w:color w:val="auto"/>
          <w:kern w:val="0"/>
          <w:sz w:val="27"/>
          <w:szCs w:val="27"/>
          <w:u w:val="none"/>
        </w:rPr>
        <w:t>  </w:t>
      </w:r>
      <w:r>
        <w:rPr>
          <w:rFonts w:ascii="黑体" w:hAnsi="黑体" w:eastAsia="黑体" w:cs="黑体"/>
          <w:b/>
          <w:bCs/>
          <w:color w:val="auto"/>
          <w:kern w:val="0"/>
          <w:sz w:val="27"/>
          <w:szCs w:val="27"/>
          <w:u w:val="none"/>
        </w:rPr>
        <w:t>一、收入支出决算总体情况说明</w:t>
      </w:r>
    </w:p>
    <w:p w14:paraId="6901BFDA">
      <w:pPr>
        <w:pageBreakBefore w:val="0"/>
        <w:widowControl/>
        <w:kinsoku/>
        <w:wordWrap/>
        <w:overflowPunct/>
        <w:topLinePunct w:val="0"/>
        <w:autoSpaceDE/>
        <w:autoSpaceDN/>
        <w:bidi w:val="0"/>
        <w:spacing w:before="240" w:after="240" w:line="560" w:lineRule="exact"/>
        <w:ind w:firstLine="640" w:firstLineChars="200"/>
        <w:jc w:val="left"/>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内蒙古自治区巴彦淖尔市乌拉特后旗社会保险事业服务中心2023年度收入、支出决算总计429.99万元。与年初预算相比，收、支总计各减少3,381.83万元，减少88.72%，变动原因：</w:t>
      </w:r>
      <w:r>
        <w:rPr>
          <w:rFonts w:hint="eastAsia" w:ascii="仿宋_GB2312" w:hAnsi="仿宋_GB2312" w:eastAsia="仿宋_GB2312" w:cs="仿宋_GB2312"/>
          <w:color w:val="auto"/>
          <w:kern w:val="0"/>
          <w:sz w:val="32"/>
          <w:szCs w:val="32"/>
          <w:u w:val="none"/>
          <w:lang w:val="en-US" w:eastAsia="zh-CN"/>
        </w:rPr>
        <w:t>机关事业养老保险由财政代列</w:t>
      </w:r>
      <w:r>
        <w:rPr>
          <w:rFonts w:hint="eastAsia" w:ascii="仿宋_GB2312" w:hAnsi="仿宋_GB2312" w:eastAsia="仿宋_GB2312" w:cs="仿宋_GB2312"/>
          <w:color w:val="auto"/>
          <w:kern w:val="0"/>
          <w:sz w:val="32"/>
          <w:szCs w:val="32"/>
          <w:u w:val="none"/>
        </w:rPr>
        <w:t>；与上年决算相比，收、支总计各减少1,006.70万元，减少70.07%。其中：</w:t>
      </w:r>
    </w:p>
    <w:p w14:paraId="0B542E4B">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b/>
          <w:bCs/>
          <w:color w:val="auto"/>
          <w:kern w:val="0"/>
          <w:sz w:val="27"/>
          <w:szCs w:val="27"/>
          <w:u w:val="none"/>
        </w:rPr>
        <w:t>  （一）收入决算总计</w:t>
      </w:r>
      <w:r>
        <w:rPr>
          <w:rFonts w:ascii="times_new_roman" w:hAnsi="times_new_roman" w:eastAsia="times_new_roman" w:cs="times_new_roman"/>
          <w:b/>
          <w:bCs/>
          <w:color w:val="auto"/>
          <w:kern w:val="0"/>
          <w:sz w:val="27"/>
          <w:szCs w:val="27"/>
          <w:u w:val="none"/>
        </w:rPr>
        <w:t>429.99</w:t>
      </w:r>
      <w:r>
        <w:rPr>
          <w:rFonts w:ascii="方正楷体_GB2312" w:hAnsi="方正楷体_GB2312" w:eastAsia="方正楷体_GB2312" w:cs="方正楷体_GB2312"/>
          <w:b/>
          <w:bCs/>
          <w:color w:val="auto"/>
          <w:kern w:val="0"/>
          <w:sz w:val="27"/>
          <w:szCs w:val="27"/>
          <w:u w:val="none"/>
        </w:rPr>
        <w:t>万元。包括：</w:t>
      </w:r>
    </w:p>
    <w:p w14:paraId="1B369B82">
      <w:pPr>
        <w:pageBreakBefore w:val="0"/>
        <w:widowControl/>
        <w:kinsoku/>
        <w:wordWrap/>
        <w:overflowPunct/>
        <w:topLinePunct w:val="0"/>
        <w:autoSpaceDE/>
        <w:autoSpaceDN/>
        <w:bidi w:val="0"/>
        <w:spacing w:before="240" w:after="240" w:line="560" w:lineRule="exact"/>
        <w:ind w:firstLine="640" w:firstLineChars="200"/>
        <w:jc w:val="left"/>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1.本年收入决算合计429.99万元。与上年决算相比，减少1,006.70万元，减少70.07%，变动原因：</w:t>
      </w:r>
      <w:r>
        <w:rPr>
          <w:rFonts w:hint="eastAsia" w:ascii="仿宋_GB2312" w:hAnsi="仿宋_GB2312" w:eastAsia="仿宋_GB2312" w:cs="仿宋_GB2312"/>
          <w:color w:val="auto"/>
          <w:kern w:val="0"/>
          <w:sz w:val="32"/>
          <w:szCs w:val="32"/>
          <w:u w:val="none"/>
          <w:lang w:val="en-US" w:eastAsia="zh-CN"/>
        </w:rPr>
        <w:t>机关事业养老保险由财政代列</w:t>
      </w:r>
      <w:r>
        <w:rPr>
          <w:rFonts w:hint="eastAsia" w:ascii="仿宋_GB2312" w:hAnsi="仿宋_GB2312" w:eastAsia="仿宋_GB2312" w:cs="仿宋_GB2312"/>
          <w:color w:val="auto"/>
          <w:kern w:val="0"/>
          <w:sz w:val="32"/>
          <w:szCs w:val="32"/>
          <w:u w:val="none"/>
        </w:rPr>
        <w:t>。</w:t>
      </w:r>
    </w:p>
    <w:p w14:paraId="1D69A7A1">
      <w:pPr>
        <w:pageBreakBefore w:val="0"/>
        <w:widowControl/>
        <w:kinsoku/>
        <w:wordWrap/>
        <w:overflowPunct/>
        <w:topLinePunct w:val="0"/>
        <w:autoSpaceDE/>
        <w:autoSpaceDN/>
        <w:bidi w:val="0"/>
        <w:spacing w:before="240" w:after="240" w:line="560" w:lineRule="exact"/>
        <w:ind w:firstLine="540" w:firstLineChars="200"/>
        <w:jc w:val="left"/>
        <w:rPr>
          <w:rFonts w:hint="eastAsia" w:ascii="仿宋_GB2312" w:hAnsi="仿宋_GB2312" w:eastAsia="仿宋_GB2312" w:cs="仿宋_GB2312"/>
          <w:color w:val="auto"/>
          <w:kern w:val="0"/>
          <w:sz w:val="32"/>
          <w:szCs w:val="32"/>
          <w:u w:val="none"/>
        </w:rPr>
      </w:pPr>
      <w:r>
        <w:rPr>
          <w:rFonts w:ascii="方正楷体_GB2312" w:hAnsi="方正楷体_GB2312" w:eastAsia="方正楷体_GB2312" w:cs="方正楷体_GB2312"/>
          <w:color w:val="auto"/>
          <w:kern w:val="0"/>
          <w:sz w:val="27"/>
          <w:szCs w:val="27"/>
          <w:u w:val="none"/>
        </w:rPr>
        <w:t> </w:t>
      </w:r>
      <w:r>
        <w:rPr>
          <w:rFonts w:hint="eastAsia" w:ascii="仿宋_GB2312" w:hAnsi="仿宋_GB2312" w:eastAsia="仿宋_GB2312" w:cs="仿宋_GB2312"/>
          <w:color w:val="auto"/>
          <w:kern w:val="0"/>
          <w:sz w:val="32"/>
          <w:szCs w:val="32"/>
          <w:u w:val="none"/>
        </w:rPr>
        <w:t>2.使用非财政拨款结余和专用结余0.00万元。与上年决算相比，增加（减少）0.00万元，增长（减少）NaN%，变动原因：不存在此项内容。</w:t>
      </w:r>
    </w:p>
    <w:p w14:paraId="0AFA510C">
      <w:pPr>
        <w:pageBreakBefore w:val="0"/>
        <w:widowControl/>
        <w:kinsoku/>
        <w:wordWrap/>
        <w:overflowPunct/>
        <w:topLinePunct w:val="0"/>
        <w:autoSpaceDE/>
        <w:autoSpaceDN/>
        <w:bidi w:val="0"/>
        <w:spacing w:before="240" w:after="240" w:line="560" w:lineRule="exact"/>
        <w:ind w:firstLine="640" w:firstLineChars="200"/>
        <w:jc w:val="left"/>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 3.年初结转和结余0.00万元。与上年决算相比，增加（减少）0.00万元，增长（减少）NaN%，变动原因：不存在此项内容。</w:t>
      </w:r>
    </w:p>
    <w:p w14:paraId="65ABF4BF">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b/>
          <w:bCs/>
          <w:color w:val="auto"/>
          <w:kern w:val="0"/>
          <w:sz w:val="27"/>
          <w:szCs w:val="27"/>
          <w:u w:val="none"/>
        </w:rPr>
        <w:t>  （二）支出决算总计</w:t>
      </w:r>
      <w:r>
        <w:rPr>
          <w:rFonts w:ascii="times_new_roman" w:hAnsi="times_new_roman" w:eastAsia="times_new_roman" w:cs="times_new_roman"/>
          <w:b/>
          <w:bCs/>
          <w:color w:val="auto"/>
          <w:kern w:val="0"/>
          <w:sz w:val="27"/>
          <w:szCs w:val="27"/>
          <w:u w:val="none"/>
        </w:rPr>
        <w:t>429.99</w:t>
      </w:r>
      <w:r>
        <w:rPr>
          <w:rFonts w:ascii="方正楷体_GB2312" w:hAnsi="方正楷体_GB2312" w:eastAsia="方正楷体_GB2312" w:cs="方正楷体_GB2312"/>
          <w:b/>
          <w:bCs/>
          <w:color w:val="auto"/>
          <w:kern w:val="0"/>
          <w:sz w:val="27"/>
          <w:szCs w:val="27"/>
          <w:u w:val="none"/>
        </w:rPr>
        <w:t>万元。包括：</w:t>
      </w:r>
    </w:p>
    <w:p w14:paraId="41DD1018">
      <w:pPr>
        <w:pageBreakBefore w:val="0"/>
        <w:widowControl/>
        <w:kinsoku/>
        <w:wordWrap/>
        <w:overflowPunct/>
        <w:topLinePunct w:val="0"/>
        <w:autoSpaceDE/>
        <w:autoSpaceDN/>
        <w:bidi w:val="0"/>
        <w:spacing w:before="240" w:after="240" w:line="560" w:lineRule="exact"/>
        <w:ind w:firstLine="640" w:firstLineChars="200"/>
        <w:jc w:val="left"/>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1.本年支出决算合计429.99万元。与上年决算相比，减少1,006.70万元，减少70.07%，变动原因：</w:t>
      </w:r>
      <w:r>
        <w:rPr>
          <w:rFonts w:hint="eastAsia" w:ascii="仿宋_GB2312" w:hAnsi="仿宋_GB2312" w:eastAsia="仿宋_GB2312" w:cs="仿宋_GB2312"/>
          <w:color w:val="auto"/>
          <w:kern w:val="0"/>
          <w:sz w:val="32"/>
          <w:szCs w:val="32"/>
          <w:u w:val="none"/>
          <w:lang w:val="en-US" w:eastAsia="zh-CN"/>
        </w:rPr>
        <w:t>机关事业养老保险由财政代列</w:t>
      </w:r>
      <w:r>
        <w:rPr>
          <w:rFonts w:hint="eastAsia" w:ascii="仿宋_GB2312" w:hAnsi="仿宋_GB2312" w:eastAsia="仿宋_GB2312" w:cs="仿宋_GB2312"/>
          <w:color w:val="auto"/>
          <w:kern w:val="0"/>
          <w:sz w:val="32"/>
          <w:szCs w:val="32"/>
          <w:u w:val="none"/>
        </w:rPr>
        <w:t>。</w:t>
      </w:r>
    </w:p>
    <w:p w14:paraId="685F85C0">
      <w:pPr>
        <w:pageBreakBefore w:val="0"/>
        <w:widowControl/>
        <w:kinsoku/>
        <w:wordWrap/>
        <w:overflowPunct/>
        <w:topLinePunct w:val="0"/>
        <w:autoSpaceDE/>
        <w:autoSpaceDN/>
        <w:bidi w:val="0"/>
        <w:spacing w:before="240" w:after="240" w:line="560" w:lineRule="exact"/>
        <w:ind w:firstLine="640" w:firstLineChars="200"/>
        <w:jc w:val="left"/>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 2.结余分配0.00万元。结余分配事项：不存在此项内容。与上年决算相比，增加（减少）0.00万元，增长（减少）NaN%，变动原因：不存在此项内容。</w:t>
      </w:r>
    </w:p>
    <w:p w14:paraId="1085D319">
      <w:pPr>
        <w:pageBreakBefore w:val="0"/>
        <w:widowControl/>
        <w:kinsoku/>
        <w:wordWrap/>
        <w:overflowPunct/>
        <w:topLinePunct w:val="0"/>
        <w:autoSpaceDE/>
        <w:autoSpaceDN/>
        <w:bidi w:val="0"/>
        <w:spacing w:before="240" w:after="240" w:line="560" w:lineRule="exact"/>
        <w:ind w:firstLine="640" w:firstLineChars="200"/>
        <w:jc w:val="left"/>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 3.年末结转和结余0.00万元。结转和结余事项：不存在此项内容。与上年决算相比，增加（减少）0.00万元，增长（减少）NaN%，变动原因：不存在此项内容。</w:t>
      </w:r>
    </w:p>
    <w:p w14:paraId="764E694A">
      <w:pPr>
        <w:pageBreakBefore w:val="0"/>
        <w:widowControl/>
        <w:kinsoku/>
        <w:wordWrap/>
        <w:overflowPunct/>
        <w:topLinePunct w:val="0"/>
        <w:autoSpaceDE/>
        <w:autoSpaceDN/>
        <w:bidi w:val="0"/>
        <w:spacing w:before="240" w:after="240" w:line="560" w:lineRule="exac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color w:val="auto"/>
          <w:kern w:val="0"/>
          <w:sz w:val="27"/>
          <w:szCs w:val="27"/>
          <w:u w:val="none"/>
        </w:rPr>
        <w:t>  </w:t>
      </w:r>
      <w:r>
        <w:rPr>
          <w:rFonts w:ascii="Calibri" w:hAnsi="Calibri" w:eastAsia="Calibri" w:cs="Calibri"/>
          <w:b/>
          <w:bCs/>
          <w:color w:val="auto"/>
          <w:kern w:val="0"/>
          <w:sz w:val="27"/>
          <w:szCs w:val="27"/>
          <w:u w:val="none"/>
        </w:rPr>
        <w:t>  </w:t>
      </w:r>
      <w:r>
        <w:rPr>
          <w:rFonts w:ascii="黑体" w:hAnsi="黑体" w:eastAsia="黑体" w:cs="黑体"/>
          <w:b/>
          <w:bCs/>
          <w:color w:val="auto"/>
          <w:kern w:val="0"/>
          <w:sz w:val="27"/>
          <w:szCs w:val="27"/>
          <w:u w:val="none"/>
        </w:rPr>
        <w:t>二、收入决算情况说明</w:t>
      </w:r>
    </w:p>
    <w:p w14:paraId="6F6CC1AB">
      <w:pPr>
        <w:pageBreakBefore w:val="0"/>
        <w:widowControl/>
        <w:kinsoku/>
        <w:wordWrap/>
        <w:overflowPunct/>
        <w:topLinePunct w:val="0"/>
        <w:autoSpaceDE/>
        <w:autoSpaceDN/>
        <w:bidi w:val="0"/>
        <w:spacing w:before="240" w:after="240" w:line="560" w:lineRule="exact"/>
        <w:ind w:firstLine="540" w:firstLineChars="200"/>
        <w:jc w:val="left"/>
        <w:rPr>
          <w:rFonts w:hint="eastAsia" w:ascii="仿宋_GB2312" w:hAnsi="仿宋_GB2312" w:eastAsia="仿宋_GB2312" w:cs="仿宋_GB2312"/>
          <w:color w:val="auto"/>
          <w:kern w:val="0"/>
          <w:sz w:val="32"/>
          <w:szCs w:val="32"/>
          <w:u w:val="none"/>
        </w:rPr>
      </w:pPr>
      <w:r>
        <w:rPr>
          <w:rFonts w:ascii="方正楷体_GB2312" w:hAnsi="方正楷体_GB2312" w:eastAsia="方正楷体_GB2312" w:cs="方正楷体_GB2312"/>
          <w:color w:val="auto"/>
          <w:kern w:val="0"/>
          <w:sz w:val="27"/>
          <w:szCs w:val="27"/>
          <w:u w:val="none"/>
        </w:rPr>
        <w:t> </w:t>
      </w:r>
      <w:r>
        <w:rPr>
          <w:rFonts w:hint="eastAsia" w:ascii="仿宋_GB2312" w:hAnsi="仿宋_GB2312" w:eastAsia="仿宋_GB2312" w:cs="仿宋_GB2312"/>
          <w:color w:val="auto"/>
          <w:kern w:val="0"/>
          <w:sz w:val="32"/>
          <w:szCs w:val="32"/>
          <w:u w:val="none"/>
        </w:rPr>
        <w:t>内蒙古自治区巴彦淖尔市乌拉特后旗社会保险事业服务中心2023年度本年收入决算合计429.99万元，其中：</w:t>
      </w:r>
    </w:p>
    <w:p w14:paraId="7D3AC3EB">
      <w:pPr>
        <w:pageBreakBefore w:val="0"/>
        <w:widowControl/>
        <w:kinsoku/>
        <w:wordWrap/>
        <w:overflowPunct/>
        <w:topLinePunct w:val="0"/>
        <w:autoSpaceDE/>
        <w:autoSpaceDN/>
        <w:bidi w:val="0"/>
        <w:spacing w:before="240" w:after="240" w:line="560" w:lineRule="exact"/>
        <w:ind w:firstLine="640" w:firstLineChars="200"/>
        <w:jc w:val="left"/>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 本年一般公共预算财政拨款收入429.99万元，占100.00%；</w:t>
      </w:r>
    </w:p>
    <w:p w14:paraId="07B98924">
      <w:pPr>
        <w:pageBreakBefore w:val="0"/>
        <w:widowControl/>
        <w:kinsoku/>
        <w:wordWrap/>
        <w:overflowPunct/>
        <w:topLinePunct w:val="0"/>
        <w:autoSpaceDE/>
        <w:autoSpaceDN/>
        <w:bidi w:val="0"/>
        <w:spacing w:before="240" w:after="240" w:line="560" w:lineRule="exact"/>
        <w:ind w:firstLine="640" w:firstLineChars="200"/>
        <w:jc w:val="left"/>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 本年政府性基金预算财政拨款收入0.00万元，占0.00%；</w:t>
      </w:r>
    </w:p>
    <w:p w14:paraId="033325A2">
      <w:pPr>
        <w:pageBreakBefore w:val="0"/>
        <w:widowControl/>
        <w:kinsoku/>
        <w:wordWrap/>
        <w:overflowPunct/>
        <w:topLinePunct w:val="0"/>
        <w:autoSpaceDE/>
        <w:autoSpaceDN/>
        <w:bidi w:val="0"/>
        <w:spacing w:before="240" w:after="240" w:line="560" w:lineRule="exact"/>
        <w:ind w:firstLine="640" w:firstLineChars="200"/>
        <w:jc w:val="left"/>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 本年国有资本经营预算财政拨款收入0.00万元，占0.00%；</w:t>
      </w:r>
    </w:p>
    <w:p w14:paraId="36407388">
      <w:pPr>
        <w:pageBreakBefore w:val="0"/>
        <w:widowControl/>
        <w:kinsoku/>
        <w:wordWrap/>
        <w:overflowPunct/>
        <w:topLinePunct w:val="0"/>
        <w:autoSpaceDE/>
        <w:autoSpaceDN/>
        <w:bidi w:val="0"/>
        <w:spacing w:before="240" w:after="240" w:line="560" w:lineRule="exact"/>
        <w:ind w:firstLine="640" w:firstLineChars="200"/>
        <w:jc w:val="left"/>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 本年上级补助收入0.00万元，占0.00%；</w:t>
      </w:r>
    </w:p>
    <w:p w14:paraId="61453977">
      <w:pPr>
        <w:pageBreakBefore w:val="0"/>
        <w:widowControl/>
        <w:kinsoku/>
        <w:wordWrap/>
        <w:overflowPunct/>
        <w:topLinePunct w:val="0"/>
        <w:autoSpaceDE/>
        <w:autoSpaceDN/>
        <w:bidi w:val="0"/>
        <w:spacing w:before="240" w:after="240" w:line="560" w:lineRule="exact"/>
        <w:ind w:firstLine="640" w:firstLineChars="200"/>
        <w:jc w:val="left"/>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 本年事业收入0.00万元，占0.00%；</w:t>
      </w:r>
    </w:p>
    <w:p w14:paraId="1510EFFA">
      <w:pPr>
        <w:pageBreakBefore w:val="0"/>
        <w:widowControl/>
        <w:kinsoku/>
        <w:wordWrap/>
        <w:overflowPunct/>
        <w:topLinePunct w:val="0"/>
        <w:autoSpaceDE/>
        <w:autoSpaceDN/>
        <w:bidi w:val="0"/>
        <w:spacing w:before="240" w:after="240" w:line="560" w:lineRule="exact"/>
        <w:ind w:firstLine="640" w:firstLineChars="200"/>
        <w:jc w:val="left"/>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 本年经营收入0.00万元，占0.00%；</w:t>
      </w:r>
    </w:p>
    <w:p w14:paraId="5E8C4149">
      <w:pPr>
        <w:pageBreakBefore w:val="0"/>
        <w:widowControl/>
        <w:kinsoku/>
        <w:wordWrap/>
        <w:overflowPunct/>
        <w:topLinePunct w:val="0"/>
        <w:autoSpaceDE/>
        <w:autoSpaceDN/>
        <w:bidi w:val="0"/>
        <w:spacing w:before="240" w:after="240" w:line="560" w:lineRule="exact"/>
        <w:ind w:firstLine="640" w:firstLineChars="200"/>
        <w:jc w:val="left"/>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 本年附属单位上缴收入0.00万元，占0.00%；</w:t>
      </w:r>
    </w:p>
    <w:p w14:paraId="3C40DDDA">
      <w:pPr>
        <w:pageBreakBefore w:val="0"/>
        <w:widowControl/>
        <w:kinsoku/>
        <w:wordWrap/>
        <w:overflowPunct/>
        <w:topLinePunct w:val="0"/>
        <w:autoSpaceDE/>
        <w:autoSpaceDN/>
        <w:bidi w:val="0"/>
        <w:spacing w:before="240" w:after="240" w:line="560" w:lineRule="exact"/>
        <w:ind w:firstLine="640" w:firstLineChars="200"/>
        <w:jc w:val="left"/>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lang w:eastAsia="zh-CN"/>
        </w:rPr>
        <w:drawing>
          <wp:anchor distT="0" distB="0" distL="114300" distR="114300" simplePos="0" relativeHeight="251659264" behindDoc="0" locked="0" layoutInCell="1" allowOverlap="1">
            <wp:simplePos x="0" y="0"/>
            <wp:positionH relativeFrom="column">
              <wp:posOffset>471805</wp:posOffset>
            </wp:positionH>
            <wp:positionV relativeFrom="paragraph">
              <wp:posOffset>721360</wp:posOffset>
            </wp:positionV>
            <wp:extent cx="5123815" cy="2633345"/>
            <wp:effectExtent l="4445" t="4445" r="15240" b="48260"/>
            <wp:wrapTopAndBottom/>
            <wp:docPr id="1" name="图表 1"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r>
        <w:rPr>
          <w:rFonts w:hint="eastAsia" w:ascii="仿宋_GB2312" w:hAnsi="仿宋_GB2312" w:eastAsia="仿宋_GB2312" w:cs="仿宋_GB2312"/>
          <w:color w:val="auto"/>
          <w:kern w:val="0"/>
          <w:sz w:val="32"/>
          <w:szCs w:val="32"/>
          <w:u w:val="none"/>
        </w:rPr>
        <w:t> 本年其他收入0.00万元，占0.00%。</w:t>
      </w:r>
    </w:p>
    <w:p w14:paraId="5D403AA6">
      <w:pPr>
        <w:pageBreakBefore w:val="0"/>
        <w:widowControl/>
        <w:kinsoku/>
        <w:wordWrap/>
        <w:overflowPunct/>
        <w:topLinePunct w:val="0"/>
        <w:autoSpaceDE/>
        <w:autoSpaceDN/>
        <w:bidi w:val="0"/>
        <w:spacing w:before="240" w:after="240" w:line="560" w:lineRule="exact"/>
        <w:ind w:firstLine="640" w:firstLineChars="200"/>
        <w:jc w:val="center"/>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图1.收入决算图</w:t>
      </w:r>
    </w:p>
    <w:p w14:paraId="1164397B">
      <w:pPr>
        <w:pageBreakBefore w:val="0"/>
        <w:widowControl/>
        <w:numPr>
          <w:ilvl w:val="0"/>
          <w:numId w:val="1"/>
        </w:numPr>
        <w:kinsoku/>
        <w:wordWrap/>
        <w:overflowPunct/>
        <w:topLinePunct w:val="0"/>
        <w:autoSpaceDE/>
        <w:autoSpaceDN/>
        <w:bidi w:val="0"/>
        <w:spacing w:before="240" w:after="240" w:line="560" w:lineRule="exact"/>
        <w:ind w:left="122" w:leftChars="0" w:firstLine="0" w:firstLineChars="0"/>
        <w:jc w:val="left"/>
        <w:rPr>
          <w:rFonts w:ascii="黑体" w:hAnsi="黑体" w:eastAsia="黑体" w:cs="黑体"/>
          <w:b/>
          <w:bCs/>
          <w:color w:val="auto"/>
          <w:kern w:val="0"/>
          <w:sz w:val="27"/>
          <w:szCs w:val="27"/>
          <w:u w:val="none"/>
        </w:rPr>
      </w:pPr>
      <w:r>
        <w:rPr>
          <w:rFonts w:ascii="黑体" w:hAnsi="黑体" w:eastAsia="黑体" w:cs="黑体"/>
          <w:b/>
          <w:bCs/>
          <w:color w:val="auto"/>
          <w:kern w:val="0"/>
          <w:sz w:val="27"/>
          <w:szCs w:val="27"/>
          <w:u w:val="none"/>
        </w:rPr>
        <w:t>支出决算情况说明</w:t>
      </w:r>
    </w:p>
    <w:p w14:paraId="434CEB7E">
      <w:pPr>
        <w:pageBreakBefore w:val="0"/>
        <w:widowControl/>
        <w:numPr>
          <w:ilvl w:val="0"/>
          <w:numId w:val="0"/>
        </w:numPr>
        <w:kinsoku/>
        <w:wordWrap/>
        <w:overflowPunct/>
        <w:topLinePunct w:val="0"/>
        <w:autoSpaceDE/>
        <w:autoSpaceDN/>
        <w:bidi w:val="0"/>
        <w:spacing w:before="240" w:after="240" w:line="560" w:lineRule="exact"/>
        <w:ind w:left="122" w:leftChars="0" w:firstLine="640" w:firstLineChars="200"/>
        <w:jc w:val="left"/>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内蒙古自治区巴彦淖尔市乌拉特后旗社会保险事业服务中心2023年度本年支出决算合计429.99万元，其中：</w:t>
      </w:r>
    </w:p>
    <w:p w14:paraId="2F4F2BE1">
      <w:pPr>
        <w:keepNext w:val="0"/>
        <w:keepLines w:val="0"/>
        <w:pageBreakBefore w:val="0"/>
        <w:widowControl/>
        <w:kinsoku/>
        <w:wordWrap/>
        <w:overflowPunct/>
        <w:topLinePunct w:val="0"/>
        <w:autoSpaceDE/>
        <w:autoSpaceDN/>
        <w:bidi w:val="0"/>
        <w:adjustRightInd/>
        <w:snapToGrid/>
        <w:spacing w:before="240" w:after="240" w:line="560" w:lineRule="exact"/>
        <w:ind w:firstLine="640" w:firstLineChars="200"/>
        <w:textAlignment w:val="auto"/>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  本年基本支出424.01万元，占98.61%；</w:t>
      </w:r>
    </w:p>
    <w:p w14:paraId="110A97C1">
      <w:pPr>
        <w:keepNext w:val="0"/>
        <w:keepLines w:val="0"/>
        <w:pageBreakBefore w:val="0"/>
        <w:widowControl/>
        <w:kinsoku/>
        <w:wordWrap/>
        <w:overflowPunct/>
        <w:topLinePunct w:val="0"/>
        <w:autoSpaceDE/>
        <w:autoSpaceDN/>
        <w:bidi w:val="0"/>
        <w:adjustRightInd/>
        <w:snapToGrid/>
        <w:spacing w:before="240" w:after="240" w:line="560" w:lineRule="exact"/>
        <w:ind w:firstLine="640" w:firstLineChars="200"/>
        <w:textAlignment w:val="auto"/>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  本年项目支出5.99万元，占1.39%；</w:t>
      </w:r>
    </w:p>
    <w:p w14:paraId="402DD71D">
      <w:pPr>
        <w:keepNext w:val="0"/>
        <w:keepLines w:val="0"/>
        <w:pageBreakBefore w:val="0"/>
        <w:widowControl/>
        <w:kinsoku/>
        <w:wordWrap/>
        <w:overflowPunct/>
        <w:topLinePunct w:val="0"/>
        <w:autoSpaceDE/>
        <w:autoSpaceDN/>
        <w:bidi w:val="0"/>
        <w:adjustRightInd/>
        <w:snapToGrid/>
        <w:spacing w:before="240" w:after="240" w:line="560" w:lineRule="exact"/>
        <w:ind w:firstLine="640" w:firstLineChars="200"/>
        <w:textAlignment w:val="auto"/>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  本年上缴上级支出0.00万元，占0.00%；</w:t>
      </w:r>
    </w:p>
    <w:p w14:paraId="4575E0E8">
      <w:pPr>
        <w:keepNext w:val="0"/>
        <w:keepLines w:val="0"/>
        <w:pageBreakBefore w:val="0"/>
        <w:widowControl/>
        <w:kinsoku/>
        <w:wordWrap/>
        <w:overflowPunct/>
        <w:topLinePunct w:val="0"/>
        <w:autoSpaceDE/>
        <w:autoSpaceDN/>
        <w:bidi w:val="0"/>
        <w:adjustRightInd/>
        <w:snapToGrid/>
        <w:spacing w:before="240" w:after="240" w:line="560" w:lineRule="exact"/>
        <w:ind w:firstLine="640" w:firstLineChars="200"/>
        <w:textAlignment w:val="auto"/>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  本年经营支出0.00万元，占0.00%；</w:t>
      </w:r>
    </w:p>
    <w:p w14:paraId="66C61061">
      <w:pPr>
        <w:keepNext w:val="0"/>
        <w:keepLines w:val="0"/>
        <w:pageBreakBefore w:val="0"/>
        <w:widowControl/>
        <w:kinsoku/>
        <w:wordWrap/>
        <w:overflowPunct/>
        <w:topLinePunct w:val="0"/>
        <w:autoSpaceDE/>
        <w:autoSpaceDN/>
        <w:bidi w:val="0"/>
        <w:adjustRightInd/>
        <w:snapToGrid/>
        <w:spacing w:before="240" w:after="240" w:line="560" w:lineRule="exact"/>
        <w:ind w:firstLine="640" w:firstLineChars="200"/>
        <w:textAlignment w:val="auto"/>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  本年对附属单位补助支出0.00万元，占0.00%。</w:t>
      </w:r>
    </w:p>
    <w:p w14:paraId="30601962">
      <w:pPr>
        <w:pageBreakBefore w:val="0"/>
        <w:widowControl/>
        <w:kinsoku/>
        <w:wordWrap/>
        <w:overflowPunct/>
        <w:topLinePunct w:val="0"/>
        <w:autoSpaceDE/>
        <w:autoSpaceDN/>
        <w:bidi w:val="0"/>
        <w:spacing w:before="240" w:after="240" w:line="560" w:lineRule="exact"/>
        <w:jc w:val="center"/>
        <w:rPr>
          <w:rFonts w:ascii="Times New Roman" w:hAnsi="Times New Roman" w:eastAsia="Times New Roman" w:cs="Times New Roman"/>
          <w:color w:val="auto"/>
          <w:kern w:val="0"/>
          <w:sz w:val="24"/>
          <w:u w:val="none"/>
        </w:rPr>
      </w:pPr>
      <w:r>
        <w:rPr>
          <w:rFonts w:hint="eastAsia" w:ascii="Times New Roman" w:hAnsi="Times New Roman" w:eastAsia="宋体" w:cs="Times New Roman"/>
          <w:color w:val="auto"/>
          <w:kern w:val="0"/>
          <w:sz w:val="24"/>
          <w:u w:val="none"/>
          <w:lang w:eastAsia="zh-CN"/>
        </w:rPr>
        <w:drawing>
          <wp:anchor distT="0" distB="0" distL="114300" distR="114300" simplePos="0" relativeHeight="251660288" behindDoc="0" locked="0" layoutInCell="1" allowOverlap="1">
            <wp:simplePos x="0" y="0"/>
            <wp:positionH relativeFrom="column">
              <wp:posOffset>594995</wp:posOffset>
            </wp:positionH>
            <wp:positionV relativeFrom="paragraph">
              <wp:posOffset>59690</wp:posOffset>
            </wp:positionV>
            <wp:extent cx="4520565" cy="2432050"/>
            <wp:effectExtent l="4445" t="4445" r="8890" b="20955"/>
            <wp:wrapTopAndBottom/>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Pr>
          <w:rFonts w:ascii="方正楷体_GB2312" w:hAnsi="方正楷体_GB2312" w:eastAsia="方正楷体_GB2312" w:cs="方正楷体_GB2312"/>
          <w:color w:val="auto"/>
          <w:kern w:val="0"/>
          <w:sz w:val="27"/>
          <w:szCs w:val="27"/>
          <w:u w:val="none"/>
        </w:rPr>
        <w:t>图2.支出决算图</w:t>
      </w:r>
    </w:p>
    <w:p w14:paraId="5C8C17AA">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ascii="Times New Roman" w:hAnsi="Times New Roman" w:eastAsia="Times New Roman" w:cs="Times New Roman"/>
          <w:color w:val="auto"/>
          <w:kern w:val="0"/>
          <w:sz w:val="24"/>
          <w:u w:val="none"/>
        </w:rPr>
      </w:pPr>
      <w:r>
        <w:rPr>
          <w:rFonts w:ascii="Calibri" w:hAnsi="Calibri" w:eastAsia="Calibri" w:cs="Calibri"/>
          <w:b/>
          <w:bCs/>
          <w:color w:val="auto"/>
          <w:kern w:val="0"/>
          <w:sz w:val="27"/>
          <w:szCs w:val="27"/>
          <w:u w:val="none"/>
        </w:rPr>
        <w:t>  </w:t>
      </w:r>
      <w:r>
        <w:rPr>
          <w:rFonts w:ascii="黑体" w:hAnsi="黑体" w:eastAsia="黑体" w:cs="黑体"/>
          <w:b/>
          <w:bCs/>
          <w:color w:val="auto"/>
          <w:kern w:val="0"/>
          <w:sz w:val="27"/>
          <w:szCs w:val="27"/>
          <w:u w:val="none"/>
        </w:rPr>
        <w:t>四、财政拨款收入支出决算总体情况说明</w:t>
      </w:r>
    </w:p>
    <w:p w14:paraId="16B85A76">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eastAsia" w:ascii="仿宋_GB2312" w:hAnsi="仿宋_GB2312" w:eastAsia="仿宋_GB2312" w:cs="仿宋_GB2312"/>
          <w:color w:val="auto"/>
          <w:kern w:val="0"/>
          <w:sz w:val="32"/>
          <w:szCs w:val="32"/>
          <w:u w:val="none"/>
        </w:rPr>
      </w:pPr>
      <w:r>
        <w:rPr>
          <w:rFonts w:ascii="方正楷体_GB2312" w:hAnsi="方正楷体_GB2312" w:eastAsia="方正楷体_GB2312" w:cs="方正楷体_GB2312"/>
          <w:color w:val="auto"/>
          <w:kern w:val="0"/>
          <w:sz w:val="27"/>
          <w:szCs w:val="27"/>
          <w:u w:val="none"/>
        </w:rPr>
        <w:t> </w:t>
      </w:r>
      <w:r>
        <w:rPr>
          <w:rFonts w:hint="eastAsia" w:ascii="仿宋_GB2312" w:hAnsi="仿宋_GB2312" w:eastAsia="仿宋_GB2312" w:cs="仿宋_GB2312"/>
          <w:color w:val="auto"/>
          <w:kern w:val="0"/>
          <w:sz w:val="32"/>
          <w:szCs w:val="32"/>
          <w:u w:val="none"/>
        </w:rPr>
        <w:t>内蒙古自治区巴彦淖尔市乌拉特后旗社会保险事业服务中心2023年度财政拨款收入、支出决算总计429.99万元，与年初预算相比，收、支总计各减少3,381.83万元，减少88.72%，变动原因：</w:t>
      </w:r>
      <w:r>
        <w:rPr>
          <w:rFonts w:hint="eastAsia" w:ascii="仿宋_GB2312" w:hAnsi="仿宋_GB2312" w:eastAsia="仿宋_GB2312" w:cs="仿宋_GB2312"/>
          <w:color w:val="auto"/>
          <w:kern w:val="0"/>
          <w:sz w:val="32"/>
          <w:szCs w:val="32"/>
          <w:u w:val="none"/>
          <w:lang w:val="en-US" w:eastAsia="zh-CN"/>
        </w:rPr>
        <w:t>机关事业养老保险由财政代列</w:t>
      </w:r>
      <w:r>
        <w:rPr>
          <w:rFonts w:hint="eastAsia" w:ascii="仿宋_GB2312" w:hAnsi="仿宋_GB2312" w:eastAsia="仿宋_GB2312" w:cs="仿宋_GB2312"/>
          <w:color w:val="auto"/>
          <w:kern w:val="0"/>
          <w:sz w:val="32"/>
          <w:szCs w:val="32"/>
          <w:u w:val="none"/>
        </w:rPr>
        <w:t>；与上年决算相比，收、支总计各减少1,006.70万元，减少70.07%，变动原因：</w:t>
      </w:r>
      <w:r>
        <w:rPr>
          <w:rFonts w:hint="eastAsia" w:ascii="仿宋_GB2312" w:hAnsi="仿宋_GB2312" w:eastAsia="仿宋_GB2312" w:cs="仿宋_GB2312"/>
          <w:color w:val="auto"/>
          <w:kern w:val="0"/>
          <w:sz w:val="32"/>
          <w:szCs w:val="32"/>
          <w:u w:val="none"/>
          <w:lang w:val="en-US" w:eastAsia="zh-CN"/>
        </w:rPr>
        <w:t>机关事业养老保险由财政代列</w:t>
      </w:r>
      <w:r>
        <w:rPr>
          <w:rFonts w:hint="eastAsia" w:ascii="仿宋_GB2312" w:hAnsi="仿宋_GB2312" w:eastAsia="仿宋_GB2312" w:cs="仿宋_GB2312"/>
          <w:color w:val="auto"/>
          <w:kern w:val="0"/>
          <w:sz w:val="32"/>
          <w:szCs w:val="32"/>
          <w:u w:val="none"/>
        </w:rPr>
        <w:t>。</w:t>
      </w:r>
    </w:p>
    <w:p w14:paraId="2A28E080">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ascii="Times New Roman" w:hAnsi="Times New Roman" w:eastAsia="Times New Roman" w:cs="Times New Roman"/>
          <w:color w:val="auto"/>
          <w:kern w:val="0"/>
          <w:sz w:val="24"/>
          <w:u w:val="none"/>
        </w:rPr>
      </w:pPr>
      <w:r>
        <w:rPr>
          <w:rFonts w:ascii="Calibri" w:hAnsi="Calibri" w:eastAsia="Calibri" w:cs="Calibri"/>
          <w:b/>
          <w:bCs/>
          <w:color w:val="auto"/>
          <w:kern w:val="0"/>
          <w:sz w:val="27"/>
          <w:szCs w:val="27"/>
          <w:u w:val="none"/>
        </w:rPr>
        <w:t>  </w:t>
      </w:r>
      <w:r>
        <w:rPr>
          <w:rFonts w:ascii="黑体" w:hAnsi="黑体" w:eastAsia="黑体" w:cs="黑体"/>
          <w:b/>
          <w:bCs/>
          <w:color w:val="auto"/>
          <w:kern w:val="0"/>
          <w:sz w:val="27"/>
          <w:szCs w:val="27"/>
          <w:u w:val="none"/>
        </w:rPr>
        <w:t>五、一般公共预算财政拨款支出决算情况说明</w:t>
      </w:r>
    </w:p>
    <w:p w14:paraId="0EC368D3">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textAlignment w:val="auto"/>
        <w:rPr>
          <w:rFonts w:hint="eastAsia" w:ascii="仿宋_GB2312" w:hAnsi="仿宋_GB2312" w:eastAsia="仿宋_GB2312" w:cs="仿宋_GB2312"/>
          <w:color w:val="auto"/>
          <w:kern w:val="0"/>
          <w:sz w:val="32"/>
          <w:szCs w:val="32"/>
          <w:u w:val="none"/>
        </w:rPr>
      </w:pPr>
      <w:r>
        <w:rPr>
          <w:rFonts w:ascii="方正楷体_GB2312" w:hAnsi="方正楷体_GB2312" w:eastAsia="方正楷体_GB2312" w:cs="方正楷体_GB2312"/>
          <w:color w:val="auto"/>
          <w:kern w:val="0"/>
          <w:sz w:val="27"/>
          <w:szCs w:val="27"/>
          <w:u w:val="none"/>
        </w:rPr>
        <w:t> </w:t>
      </w:r>
      <w:r>
        <w:rPr>
          <w:rFonts w:hint="eastAsia" w:ascii="仿宋_GB2312" w:hAnsi="仿宋_GB2312" w:eastAsia="仿宋_GB2312" w:cs="仿宋_GB2312"/>
          <w:color w:val="auto"/>
          <w:kern w:val="0"/>
          <w:sz w:val="32"/>
          <w:szCs w:val="32"/>
          <w:u w:val="none"/>
        </w:rPr>
        <w:t>内蒙古自治区巴彦淖尔市乌拉特后旗社会保险事业服务中心2023年度一般公共预算财政拨款支出决算429.99万元。与年初预算3,811.83万元相比，完成年初预算的11.28%。其中：</w:t>
      </w:r>
    </w:p>
    <w:p w14:paraId="1A8BFCE6">
      <w:pPr>
        <w:pageBreakBefore w:val="0"/>
        <w:widowControl/>
        <w:numPr>
          <w:ilvl w:val="0"/>
          <w:numId w:val="2"/>
        </w:numPr>
        <w:kinsoku/>
        <w:wordWrap/>
        <w:overflowPunct/>
        <w:topLinePunct w:val="0"/>
        <w:autoSpaceDE/>
        <w:autoSpaceDN/>
        <w:bidi w:val="0"/>
        <w:spacing w:before="240" w:after="240" w:line="560" w:lineRule="exact"/>
        <w:ind w:left="962" w:leftChars="0" w:firstLine="0" w:firstLineChars="0"/>
        <w:rPr>
          <w:rFonts w:ascii="方正楷体_GB2312" w:hAnsi="方正楷体_GB2312" w:eastAsia="方正楷体_GB2312" w:cs="方正楷体_GB2312"/>
          <w:b/>
          <w:bCs/>
          <w:color w:val="auto"/>
          <w:kern w:val="0"/>
          <w:sz w:val="27"/>
          <w:szCs w:val="27"/>
          <w:u w:val="none"/>
        </w:rPr>
      </w:pPr>
      <w:r>
        <w:rPr>
          <w:rFonts w:ascii="方正楷体_GB2312" w:hAnsi="方正楷体_GB2312" w:eastAsia="方正楷体_GB2312" w:cs="方正楷体_GB2312"/>
          <w:b/>
          <w:bCs/>
          <w:color w:val="auto"/>
          <w:kern w:val="0"/>
          <w:sz w:val="27"/>
          <w:szCs w:val="27"/>
          <w:u w:val="none"/>
        </w:rPr>
        <w:t>社会保障和就业支出（类）</w:t>
      </w:r>
    </w:p>
    <w:p w14:paraId="459F1C32">
      <w:pPr>
        <w:pageBreakBefore w:val="0"/>
        <w:widowControl/>
        <w:kinsoku/>
        <w:wordWrap/>
        <w:overflowPunct/>
        <w:topLinePunct w:val="0"/>
        <w:autoSpaceDE/>
        <w:autoSpaceDN/>
        <w:bidi w:val="0"/>
        <w:spacing w:before="240" w:after="240" w:line="560" w:lineRule="exact"/>
        <w:ind w:firstLine="640" w:firstLineChars="200"/>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社会保障和就业支出类决算数为374.59万元，与年初预算相比减少3,375.34万元。其中：</w:t>
      </w:r>
    </w:p>
    <w:p w14:paraId="2C2662E1">
      <w:pPr>
        <w:pageBreakBefore w:val="0"/>
        <w:widowControl/>
        <w:numPr>
          <w:ilvl w:val="0"/>
          <w:numId w:val="3"/>
        </w:numPr>
        <w:kinsoku/>
        <w:wordWrap/>
        <w:overflowPunct/>
        <w:topLinePunct w:val="0"/>
        <w:autoSpaceDE/>
        <w:autoSpaceDN/>
        <w:bidi w:val="0"/>
        <w:spacing w:before="240" w:after="240" w:line="560" w:lineRule="exact"/>
        <w:ind w:firstLine="640" w:firstLineChars="200"/>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人力资源和社会保障管理事务</w:t>
      </w:r>
      <w:r>
        <w:rPr>
          <w:rFonts w:hint="eastAsia" w:ascii="仿宋_GB2312" w:hAnsi="仿宋_GB2312" w:eastAsia="仿宋_GB2312" w:cs="仿宋_GB2312"/>
          <w:color w:val="auto"/>
          <w:kern w:val="0"/>
          <w:sz w:val="32"/>
          <w:szCs w:val="32"/>
          <w:u w:val="none"/>
          <w:lang w:eastAsia="zh-CN"/>
        </w:rPr>
        <w:t>（</w:t>
      </w:r>
      <w:r>
        <w:rPr>
          <w:rFonts w:hint="eastAsia" w:ascii="仿宋_GB2312" w:hAnsi="仿宋_GB2312" w:eastAsia="仿宋_GB2312" w:cs="仿宋_GB2312"/>
          <w:color w:val="auto"/>
          <w:kern w:val="0"/>
          <w:sz w:val="32"/>
          <w:szCs w:val="32"/>
          <w:u w:val="none"/>
          <w:lang w:val="en-US" w:eastAsia="zh-CN"/>
        </w:rPr>
        <w:t>款</w:t>
      </w:r>
      <w:r>
        <w:rPr>
          <w:rFonts w:hint="eastAsia" w:ascii="仿宋_GB2312" w:hAnsi="仿宋_GB2312" w:eastAsia="仿宋_GB2312" w:cs="仿宋_GB2312"/>
          <w:color w:val="auto"/>
          <w:kern w:val="0"/>
          <w:sz w:val="32"/>
          <w:szCs w:val="32"/>
          <w:u w:val="none"/>
          <w:lang w:eastAsia="zh-CN"/>
        </w:rPr>
        <w:t>）</w:t>
      </w:r>
      <w:r>
        <w:rPr>
          <w:rFonts w:hint="eastAsia" w:ascii="仿宋_GB2312" w:hAnsi="仿宋_GB2312" w:eastAsia="仿宋_GB2312" w:cs="仿宋_GB2312"/>
          <w:color w:val="auto"/>
          <w:kern w:val="0"/>
          <w:sz w:val="32"/>
          <w:szCs w:val="32"/>
          <w:u w:val="none"/>
        </w:rPr>
        <w:t>社会保险业务管理事务</w:t>
      </w:r>
      <w:r>
        <w:rPr>
          <w:rFonts w:hint="eastAsia" w:ascii="仿宋_GB2312" w:hAnsi="仿宋_GB2312" w:eastAsia="仿宋_GB2312" w:cs="仿宋_GB2312"/>
          <w:color w:val="auto"/>
          <w:kern w:val="0"/>
          <w:sz w:val="32"/>
          <w:szCs w:val="32"/>
          <w:u w:val="none"/>
          <w:lang w:eastAsia="zh-CN"/>
        </w:rPr>
        <w:t>（</w:t>
      </w:r>
      <w:r>
        <w:rPr>
          <w:rFonts w:hint="eastAsia" w:ascii="仿宋_GB2312" w:hAnsi="仿宋_GB2312" w:eastAsia="仿宋_GB2312" w:cs="仿宋_GB2312"/>
          <w:color w:val="auto"/>
          <w:kern w:val="0"/>
          <w:sz w:val="32"/>
          <w:szCs w:val="32"/>
          <w:u w:val="none"/>
          <w:lang w:val="en-US" w:eastAsia="zh-CN"/>
        </w:rPr>
        <w:t>项</w:t>
      </w:r>
      <w:r>
        <w:rPr>
          <w:rFonts w:hint="eastAsia" w:ascii="仿宋_GB2312" w:hAnsi="仿宋_GB2312" w:eastAsia="仿宋_GB2312" w:cs="仿宋_GB2312"/>
          <w:color w:val="auto"/>
          <w:kern w:val="0"/>
          <w:sz w:val="32"/>
          <w:szCs w:val="32"/>
          <w:u w:val="none"/>
          <w:lang w:eastAsia="zh-CN"/>
        </w:rPr>
        <w:t>）</w:t>
      </w:r>
      <w:r>
        <w:rPr>
          <w:rFonts w:hint="eastAsia" w:ascii="仿宋_GB2312" w:hAnsi="仿宋_GB2312" w:eastAsia="仿宋_GB2312" w:cs="仿宋_GB2312"/>
          <w:color w:val="auto"/>
          <w:kern w:val="0"/>
          <w:sz w:val="32"/>
          <w:szCs w:val="32"/>
          <w:u w:val="none"/>
        </w:rPr>
        <w:t>年初预算</w:t>
      </w:r>
      <w:r>
        <w:rPr>
          <w:rFonts w:hint="eastAsia" w:ascii="仿宋_GB2312" w:hAnsi="仿宋_GB2312" w:eastAsia="仿宋_GB2312" w:cs="仿宋_GB2312"/>
          <w:color w:val="auto"/>
          <w:kern w:val="0"/>
          <w:sz w:val="32"/>
          <w:szCs w:val="32"/>
          <w:u w:val="none"/>
          <w:lang w:val="en-US" w:eastAsia="zh-CN"/>
        </w:rPr>
        <w:t>387.57</w:t>
      </w:r>
      <w:r>
        <w:rPr>
          <w:rFonts w:hint="eastAsia" w:ascii="仿宋_GB2312" w:hAnsi="仿宋_GB2312" w:eastAsia="仿宋_GB2312" w:cs="仿宋_GB2312"/>
          <w:color w:val="auto"/>
          <w:kern w:val="0"/>
          <w:sz w:val="32"/>
          <w:szCs w:val="32"/>
          <w:u w:val="none"/>
        </w:rPr>
        <w:t>万元，支出决算</w:t>
      </w:r>
      <w:r>
        <w:rPr>
          <w:rFonts w:hint="eastAsia" w:ascii="仿宋_GB2312" w:hAnsi="仿宋_GB2312" w:eastAsia="仿宋_GB2312" w:cs="仿宋_GB2312"/>
          <w:color w:val="auto"/>
          <w:kern w:val="0"/>
          <w:sz w:val="32"/>
          <w:szCs w:val="32"/>
          <w:u w:val="none"/>
          <w:lang w:val="en-US" w:eastAsia="zh-CN"/>
        </w:rPr>
        <w:t>310.72</w:t>
      </w:r>
      <w:r>
        <w:rPr>
          <w:rFonts w:hint="eastAsia" w:ascii="仿宋_GB2312" w:hAnsi="仿宋_GB2312" w:eastAsia="仿宋_GB2312" w:cs="仿宋_GB2312"/>
          <w:color w:val="auto"/>
          <w:kern w:val="0"/>
          <w:sz w:val="32"/>
          <w:szCs w:val="32"/>
          <w:u w:val="none"/>
        </w:rPr>
        <w:t>万元，完成年初预算的</w:t>
      </w:r>
      <w:r>
        <w:rPr>
          <w:rFonts w:hint="eastAsia" w:ascii="仿宋_GB2312" w:hAnsi="仿宋_GB2312" w:eastAsia="仿宋_GB2312" w:cs="仿宋_GB2312"/>
          <w:color w:val="auto"/>
          <w:kern w:val="0"/>
          <w:sz w:val="32"/>
          <w:szCs w:val="32"/>
          <w:u w:val="none"/>
          <w:lang w:val="en-US" w:eastAsia="zh-CN"/>
        </w:rPr>
        <w:t>80.17</w:t>
      </w:r>
      <w:r>
        <w:rPr>
          <w:rFonts w:hint="eastAsia" w:ascii="仿宋_GB2312" w:hAnsi="仿宋_GB2312" w:eastAsia="仿宋_GB2312" w:cs="仿宋_GB2312"/>
          <w:color w:val="auto"/>
          <w:kern w:val="0"/>
          <w:sz w:val="32"/>
          <w:szCs w:val="32"/>
          <w:u w:val="none"/>
        </w:rPr>
        <w:t>%。决算数与年初预算数的差异原因：</w:t>
      </w:r>
      <w:r>
        <w:rPr>
          <w:rFonts w:hint="eastAsia" w:ascii="仿宋_GB2312" w:hAnsi="仿宋_GB2312" w:eastAsia="仿宋_GB2312" w:cs="仿宋_GB2312"/>
          <w:color w:val="auto"/>
          <w:kern w:val="0"/>
          <w:sz w:val="32"/>
          <w:szCs w:val="32"/>
          <w:u w:val="none"/>
          <w:lang w:val="en-US" w:eastAsia="zh-CN"/>
        </w:rPr>
        <w:t>机构改革2023年人员减少</w:t>
      </w:r>
      <w:r>
        <w:rPr>
          <w:rFonts w:hint="eastAsia" w:ascii="仿宋_GB2312" w:hAnsi="仿宋_GB2312" w:eastAsia="仿宋_GB2312" w:cs="仿宋_GB2312"/>
          <w:color w:val="auto"/>
          <w:kern w:val="0"/>
          <w:sz w:val="32"/>
          <w:szCs w:val="32"/>
          <w:u w:val="none"/>
        </w:rPr>
        <w:t>。</w:t>
      </w:r>
    </w:p>
    <w:p w14:paraId="112D3386">
      <w:pPr>
        <w:pageBreakBefore w:val="0"/>
        <w:widowControl/>
        <w:numPr>
          <w:ilvl w:val="0"/>
          <w:numId w:val="3"/>
        </w:numPr>
        <w:kinsoku/>
        <w:wordWrap/>
        <w:overflowPunct/>
        <w:topLinePunct w:val="0"/>
        <w:autoSpaceDE/>
        <w:autoSpaceDN/>
        <w:bidi w:val="0"/>
        <w:spacing w:before="240" w:after="240" w:line="560" w:lineRule="exact"/>
        <w:ind w:firstLine="640" w:firstLineChars="200"/>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行政事业单位养老支出（款）事业单位离退休（项）。年初预算</w:t>
      </w:r>
      <w:r>
        <w:rPr>
          <w:rFonts w:hint="eastAsia" w:ascii="仿宋_GB2312" w:hAnsi="仿宋_GB2312" w:eastAsia="仿宋_GB2312" w:cs="仿宋_GB2312"/>
          <w:color w:val="auto"/>
          <w:kern w:val="0"/>
          <w:sz w:val="32"/>
          <w:szCs w:val="32"/>
          <w:u w:val="none"/>
          <w:lang w:val="en-US" w:eastAsia="zh-CN"/>
        </w:rPr>
        <w:t>27.14</w:t>
      </w:r>
      <w:r>
        <w:rPr>
          <w:rFonts w:hint="eastAsia" w:ascii="仿宋_GB2312" w:hAnsi="仿宋_GB2312" w:eastAsia="仿宋_GB2312" w:cs="仿宋_GB2312"/>
          <w:color w:val="auto"/>
          <w:kern w:val="0"/>
          <w:sz w:val="32"/>
          <w:szCs w:val="32"/>
          <w:u w:val="none"/>
        </w:rPr>
        <w:t>万元，支出决算</w:t>
      </w:r>
      <w:r>
        <w:rPr>
          <w:rFonts w:hint="eastAsia" w:ascii="仿宋_GB2312" w:hAnsi="仿宋_GB2312" w:eastAsia="仿宋_GB2312" w:cs="仿宋_GB2312"/>
          <w:color w:val="auto"/>
          <w:kern w:val="0"/>
          <w:sz w:val="32"/>
          <w:szCs w:val="32"/>
          <w:u w:val="none"/>
          <w:lang w:val="en-US" w:eastAsia="zh-CN"/>
        </w:rPr>
        <w:t>27.14</w:t>
      </w:r>
      <w:r>
        <w:rPr>
          <w:rFonts w:hint="eastAsia" w:ascii="仿宋_GB2312" w:hAnsi="仿宋_GB2312" w:eastAsia="仿宋_GB2312" w:cs="仿宋_GB2312"/>
          <w:color w:val="auto"/>
          <w:kern w:val="0"/>
          <w:sz w:val="32"/>
          <w:szCs w:val="32"/>
          <w:u w:val="none"/>
        </w:rPr>
        <w:t>万元，完成年初预算的</w:t>
      </w:r>
      <w:r>
        <w:rPr>
          <w:rFonts w:hint="eastAsia" w:ascii="仿宋_GB2312" w:hAnsi="仿宋_GB2312" w:eastAsia="仿宋_GB2312" w:cs="仿宋_GB2312"/>
          <w:color w:val="auto"/>
          <w:kern w:val="0"/>
          <w:sz w:val="32"/>
          <w:szCs w:val="32"/>
          <w:u w:val="none"/>
          <w:lang w:val="en-US" w:eastAsia="zh-CN"/>
        </w:rPr>
        <w:t>100.00</w:t>
      </w:r>
      <w:r>
        <w:rPr>
          <w:rFonts w:hint="eastAsia" w:ascii="仿宋_GB2312" w:hAnsi="仿宋_GB2312" w:eastAsia="仿宋_GB2312" w:cs="仿宋_GB2312"/>
          <w:color w:val="auto"/>
          <w:kern w:val="0"/>
          <w:sz w:val="32"/>
          <w:szCs w:val="32"/>
          <w:u w:val="none"/>
        </w:rPr>
        <w:t>%。决算数与年初预算数的差异原因：</w:t>
      </w:r>
      <w:r>
        <w:rPr>
          <w:rFonts w:hint="eastAsia" w:ascii="仿宋_GB2312" w:hAnsi="仿宋_GB2312" w:eastAsia="仿宋_GB2312" w:cs="仿宋_GB2312"/>
          <w:color w:val="auto"/>
          <w:kern w:val="0"/>
          <w:sz w:val="32"/>
          <w:szCs w:val="32"/>
          <w:u w:val="none"/>
          <w:lang w:val="en-US" w:eastAsia="zh-CN"/>
        </w:rPr>
        <w:t>人员没有变动</w:t>
      </w:r>
      <w:r>
        <w:rPr>
          <w:rFonts w:hint="eastAsia" w:ascii="仿宋_GB2312" w:hAnsi="仿宋_GB2312" w:eastAsia="仿宋_GB2312" w:cs="仿宋_GB2312"/>
          <w:color w:val="auto"/>
          <w:kern w:val="0"/>
          <w:sz w:val="32"/>
          <w:szCs w:val="32"/>
          <w:u w:val="none"/>
        </w:rPr>
        <w:t>。</w:t>
      </w:r>
    </w:p>
    <w:p w14:paraId="4F4CF0A7">
      <w:pPr>
        <w:pageBreakBefore w:val="0"/>
        <w:widowControl/>
        <w:kinsoku/>
        <w:wordWrap/>
        <w:overflowPunct/>
        <w:topLinePunct w:val="0"/>
        <w:autoSpaceDE/>
        <w:autoSpaceDN/>
        <w:bidi w:val="0"/>
        <w:spacing w:before="240" w:after="240" w:line="560" w:lineRule="exact"/>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  </w:t>
      </w:r>
      <w:r>
        <w:rPr>
          <w:rFonts w:hint="eastAsia" w:ascii="仿宋_GB2312" w:hAnsi="仿宋_GB2312" w:eastAsia="仿宋_GB2312" w:cs="仿宋_GB2312"/>
          <w:color w:val="auto"/>
          <w:kern w:val="0"/>
          <w:sz w:val="32"/>
          <w:szCs w:val="32"/>
          <w:u w:val="none"/>
          <w:lang w:val="en-US" w:eastAsia="zh-CN"/>
        </w:rPr>
        <w:t xml:space="preserve">  </w:t>
      </w:r>
      <w:r>
        <w:rPr>
          <w:rFonts w:hint="eastAsia" w:ascii="仿宋_GB2312" w:hAnsi="仿宋_GB2312" w:eastAsia="仿宋_GB2312" w:cs="仿宋_GB2312"/>
          <w:color w:val="auto"/>
          <w:kern w:val="0"/>
          <w:sz w:val="32"/>
          <w:szCs w:val="32"/>
          <w:u w:val="none"/>
        </w:rPr>
        <w:t>3．行政事业单位养老支出（款）机关事业单位基本养老保险缴费支出（项）。年初预算</w:t>
      </w:r>
      <w:r>
        <w:rPr>
          <w:rFonts w:hint="eastAsia" w:ascii="仿宋_GB2312" w:hAnsi="仿宋_GB2312" w:eastAsia="仿宋_GB2312" w:cs="仿宋_GB2312"/>
          <w:color w:val="auto"/>
          <w:kern w:val="0"/>
          <w:sz w:val="32"/>
          <w:szCs w:val="32"/>
          <w:u w:val="none"/>
          <w:lang w:val="en-US" w:eastAsia="zh-CN"/>
        </w:rPr>
        <w:t>39.5</w:t>
      </w:r>
      <w:r>
        <w:rPr>
          <w:rFonts w:hint="eastAsia" w:ascii="仿宋_GB2312" w:hAnsi="仿宋_GB2312" w:eastAsia="仿宋_GB2312" w:cs="仿宋_GB2312"/>
          <w:color w:val="auto"/>
          <w:kern w:val="0"/>
          <w:sz w:val="32"/>
          <w:szCs w:val="32"/>
          <w:u w:val="none"/>
        </w:rPr>
        <w:t>万元，支出决算</w:t>
      </w:r>
      <w:r>
        <w:rPr>
          <w:rFonts w:hint="eastAsia" w:ascii="仿宋_GB2312" w:hAnsi="仿宋_GB2312" w:eastAsia="仿宋_GB2312" w:cs="仿宋_GB2312"/>
          <w:color w:val="auto"/>
          <w:kern w:val="0"/>
          <w:sz w:val="32"/>
          <w:szCs w:val="32"/>
          <w:u w:val="none"/>
          <w:lang w:val="en-US" w:eastAsia="zh-CN"/>
        </w:rPr>
        <w:t>32.57</w:t>
      </w:r>
      <w:r>
        <w:rPr>
          <w:rFonts w:hint="eastAsia" w:ascii="仿宋_GB2312" w:hAnsi="仿宋_GB2312" w:eastAsia="仿宋_GB2312" w:cs="仿宋_GB2312"/>
          <w:color w:val="auto"/>
          <w:kern w:val="0"/>
          <w:sz w:val="32"/>
          <w:szCs w:val="32"/>
          <w:u w:val="none"/>
        </w:rPr>
        <w:t>万元，完成年初预算的</w:t>
      </w:r>
      <w:r>
        <w:rPr>
          <w:rFonts w:hint="eastAsia" w:ascii="仿宋_GB2312" w:hAnsi="仿宋_GB2312" w:eastAsia="仿宋_GB2312" w:cs="仿宋_GB2312"/>
          <w:color w:val="auto"/>
          <w:kern w:val="0"/>
          <w:sz w:val="32"/>
          <w:szCs w:val="32"/>
          <w:u w:val="none"/>
          <w:lang w:val="en-US" w:eastAsia="zh-CN"/>
        </w:rPr>
        <w:t>82.46</w:t>
      </w:r>
      <w:r>
        <w:rPr>
          <w:rFonts w:hint="eastAsia" w:ascii="仿宋_GB2312" w:hAnsi="仿宋_GB2312" w:eastAsia="仿宋_GB2312" w:cs="仿宋_GB2312"/>
          <w:color w:val="auto"/>
          <w:kern w:val="0"/>
          <w:sz w:val="32"/>
          <w:szCs w:val="32"/>
          <w:u w:val="none"/>
        </w:rPr>
        <w:t>%。决算数与年初预算数的差异原因：</w:t>
      </w:r>
      <w:r>
        <w:rPr>
          <w:rFonts w:hint="eastAsia" w:ascii="仿宋_GB2312" w:hAnsi="仿宋_GB2312" w:eastAsia="仿宋_GB2312" w:cs="仿宋_GB2312"/>
          <w:color w:val="auto"/>
          <w:kern w:val="0"/>
          <w:sz w:val="32"/>
          <w:szCs w:val="32"/>
          <w:u w:val="none"/>
          <w:lang w:val="en-US" w:eastAsia="zh-CN"/>
        </w:rPr>
        <w:t>机构改革2023年人员减少</w:t>
      </w:r>
      <w:r>
        <w:rPr>
          <w:rFonts w:hint="eastAsia" w:ascii="仿宋_GB2312" w:hAnsi="仿宋_GB2312" w:eastAsia="仿宋_GB2312" w:cs="仿宋_GB2312"/>
          <w:color w:val="auto"/>
          <w:kern w:val="0"/>
          <w:sz w:val="32"/>
          <w:szCs w:val="32"/>
          <w:u w:val="none"/>
        </w:rPr>
        <w:t>。</w:t>
      </w:r>
    </w:p>
    <w:p w14:paraId="44126989">
      <w:pPr>
        <w:pageBreakBefore w:val="0"/>
        <w:widowControl/>
        <w:kinsoku/>
        <w:wordWrap/>
        <w:overflowPunct/>
        <w:topLinePunct w:val="0"/>
        <w:autoSpaceDE/>
        <w:autoSpaceDN/>
        <w:bidi w:val="0"/>
        <w:spacing w:before="240" w:after="240" w:line="560" w:lineRule="exact"/>
        <w:ind w:firstLine="640" w:firstLineChars="200"/>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4．行政事业单位养老支出（款）机关事业单位职业年金缴费支出（项）。年初预算</w:t>
      </w:r>
      <w:r>
        <w:rPr>
          <w:rFonts w:hint="eastAsia" w:ascii="仿宋_GB2312" w:hAnsi="仿宋_GB2312" w:eastAsia="仿宋_GB2312" w:cs="仿宋_GB2312"/>
          <w:color w:val="auto"/>
          <w:kern w:val="0"/>
          <w:sz w:val="32"/>
          <w:szCs w:val="32"/>
          <w:u w:val="none"/>
          <w:lang w:val="en-US" w:eastAsia="zh-CN"/>
        </w:rPr>
        <w:t>19.75</w:t>
      </w:r>
      <w:r>
        <w:rPr>
          <w:rFonts w:hint="eastAsia" w:ascii="仿宋_GB2312" w:hAnsi="仿宋_GB2312" w:eastAsia="仿宋_GB2312" w:cs="仿宋_GB2312"/>
          <w:color w:val="auto"/>
          <w:kern w:val="0"/>
          <w:sz w:val="32"/>
          <w:szCs w:val="32"/>
          <w:u w:val="none"/>
        </w:rPr>
        <w:t>万元，支出决算</w:t>
      </w:r>
      <w:r>
        <w:rPr>
          <w:rFonts w:hint="eastAsia" w:ascii="仿宋_GB2312" w:hAnsi="仿宋_GB2312" w:eastAsia="仿宋_GB2312" w:cs="仿宋_GB2312"/>
          <w:color w:val="auto"/>
          <w:kern w:val="0"/>
          <w:sz w:val="32"/>
          <w:szCs w:val="32"/>
          <w:u w:val="none"/>
          <w:lang w:val="en-US" w:eastAsia="zh-CN"/>
        </w:rPr>
        <w:t>3.77</w:t>
      </w:r>
      <w:r>
        <w:rPr>
          <w:rFonts w:hint="eastAsia" w:ascii="仿宋_GB2312" w:hAnsi="仿宋_GB2312" w:eastAsia="仿宋_GB2312" w:cs="仿宋_GB2312"/>
          <w:color w:val="auto"/>
          <w:kern w:val="0"/>
          <w:sz w:val="32"/>
          <w:szCs w:val="32"/>
          <w:u w:val="none"/>
        </w:rPr>
        <w:t>万元，完成年初预算的</w:t>
      </w:r>
      <w:r>
        <w:rPr>
          <w:rFonts w:hint="eastAsia" w:ascii="仿宋_GB2312" w:hAnsi="仿宋_GB2312" w:eastAsia="仿宋_GB2312" w:cs="仿宋_GB2312"/>
          <w:color w:val="auto"/>
          <w:kern w:val="0"/>
          <w:sz w:val="32"/>
          <w:szCs w:val="32"/>
          <w:u w:val="none"/>
          <w:lang w:val="en-US" w:eastAsia="zh-CN"/>
        </w:rPr>
        <w:t>19.09</w:t>
      </w:r>
      <w:r>
        <w:rPr>
          <w:rFonts w:hint="eastAsia" w:ascii="仿宋_GB2312" w:hAnsi="仿宋_GB2312" w:eastAsia="仿宋_GB2312" w:cs="仿宋_GB2312"/>
          <w:color w:val="auto"/>
          <w:kern w:val="0"/>
          <w:sz w:val="32"/>
          <w:szCs w:val="32"/>
          <w:u w:val="none"/>
        </w:rPr>
        <w:t>%。决算数与年初预算数的差异原因：经年底测算，支出数小于预算数，但100%已上划自治区职业年金账户。</w:t>
      </w:r>
    </w:p>
    <w:p w14:paraId="78DF20DE">
      <w:pPr>
        <w:pageBreakBefore w:val="0"/>
        <w:widowControl/>
        <w:kinsoku/>
        <w:wordWrap/>
        <w:overflowPunct/>
        <w:topLinePunct w:val="0"/>
        <w:autoSpaceDE/>
        <w:autoSpaceDN/>
        <w:bidi w:val="0"/>
        <w:spacing w:before="240" w:after="240" w:line="560" w:lineRule="exact"/>
        <w:ind w:firstLine="640" w:firstLineChars="200"/>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lang w:val="en-US" w:eastAsia="zh-CN"/>
        </w:rPr>
        <w:t>5.</w:t>
      </w:r>
      <w:r>
        <w:rPr>
          <w:rFonts w:hint="eastAsia" w:ascii="仿宋_GB2312" w:hAnsi="仿宋_GB2312" w:eastAsia="仿宋_GB2312" w:cs="仿宋_GB2312"/>
          <w:color w:val="auto"/>
          <w:kern w:val="0"/>
          <w:sz w:val="32"/>
          <w:szCs w:val="32"/>
          <w:u w:val="none"/>
        </w:rPr>
        <w:t>其他社会保障和就业支出</w:t>
      </w:r>
      <w:r>
        <w:rPr>
          <w:rFonts w:hint="eastAsia" w:ascii="仿宋_GB2312" w:hAnsi="仿宋_GB2312" w:eastAsia="仿宋_GB2312" w:cs="仿宋_GB2312"/>
          <w:color w:val="auto"/>
          <w:kern w:val="0"/>
          <w:sz w:val="32"/>
          <w:szCs w:val="32"/>
          <w:u w:val="none"/>
          <w:lang w:eastAsia="zh-CN"/>
        </w:rPr>
        <w:t>（</w:t>
      </w:r>
      <w:r>
        <w:rPr>
          <w:rFonts w:hint="eastAsia" w:ascii="仿宋_GB2312" w:hAnsi="仿宋_GB2312" w:eastAsia="仿宋_GB2312" w:cs="仿宋_GB2312"/>
          <w:color w:val="auto"/>
          <w:kern w:val="0"/>
          <w:sz w:val="32"/>
          <w:szCs w:val="32"/>
          <w:u w:val="none"/>
          <w:lang w:val="en-US" w:eastAsia="zh-CN"/>
        </w:rPr>
        <w:t>款</w:t>
      </w:r>
      <w:r>
        <w:rPr>
          <w:rFonts w:hint="eastAsia" w:ascii="仿宋_GB2312" w:hAnsi="仿宋_GB2312" w:eastAsia="仿宋_GB2312" w:cs="仿宋_GB2312"/>
          <w:color w:val="auto"/>
          <w:kern w:val="0"/>
          <w:sz w:val="32"/>
          <w:szCs w:val="32"/>
          <w:u w:val="none"/>
          <w:lang w:eastAsia="zh-CN"/>
        </w:rPr>
        <w:t>）其他社会保障和就业支出（</w:t>
      </w:r>
      <w:r>
        <w:rPr>
          <w:rFonts w:hint="eastAsia" w:ascii="仿宋_GB2312" w:hAnsi="仿宋_GB2312" w:eastAsia="仿宋_GB2312" w:cs="仿宋_GB2312"/>
          <w:color w:val="auto"/>
          <w:kern w:val="0"/>
          <w:sz w:val="32"/>
          <w:szCs w:val="32"/>
          <w:u w:val="none"/>
          <w:lang w:val="en-US" w:eastAsia="zh-CN"/>
        </w:rPr>
        <w:t>项</w:t>
      </w:r>
      <w:r>
        <w:rPr>
          <w:rFonts w:hint="eastAsia" w:ascii="仿宋_GB2312" w:hAnsi="仿宋_GB2312" w:eastAsia="仿宋_GB2312" w:cs="仿宋_GB2312"/>
          <w:color w:val="auto"/>
          <w:kern w:val="0"/>
          <w:sz w:val="32"/>
          <w:szCs w:val="32"/>
          <w:u w:val="none"/>
          <w:lang w:eastAsia="zh-CN"/>
        </w:rPr>
        <w:t>）</w:t>
      </w:r>
      <w:r>
        <w:rPr>
          <w:rFonts w:hint="eastAsia" w:ascii="仿宋_GB2312" w:hAnsi="仿宋_GB2312" w:eastAsia="仿宋_GB2312" w:cs="仿宋_GB2312"/>
          <w:color w:val="auto"/>
          <w:kern w:val="0"/>
          <w:sz w:val="32"/>
          <w:szCs w:val="32"/>
          <w:u w:val="none"/>
        </w:rPr>
        <w:t>年初预算</w:t>
      </w:r>
      <w:r>
        <w:rPr>
          <w:rFonts w:hint="eastAsia" w:ascii="仿宋_GB2312" w:hAnsi="仿宋_GB2312" w:eastAsia="仿宋_GB2312" w:cs="仿宋_GB2312"/>
          <w:color w:val="auto"/>
          <w:kern w:val="0"/>
          <w:sz w:val="32"/>
          <w:szCs w:val="32"/>
          <w:u w:val="none"/>
          <w:lang w:val="en-US" w:eastAsia="zh-CN"/>
        </w:rPr>
        <w:t>0</w:t>
      </w:r>
      <w:r>
        <w:rPr>
          <w:rFonts w:hint="eastAsia" w:ascii="仿宋_GB2312" w:hAnsi="仿宋_GB2312" w:eastAsia="仿宋_GB2312" w:cs="仿宋_GB2312"/>
          <w:color w:val="auto"/>
          <w:kern w:val="0"/>
          <w:sz w:val="32"/>
          <w:szCs w:val="32"/>
          <w:u w:val="none"/>
        </w:rPr>
        <w:t>万元，支出决算</w:t>
      </w:r>
      <w:r>
        <w:rPr>
          <w:rFonts w:hint="eastAsia" w:ascii="仿宋_GB2312" w:hAnsi="仿宋_GB2312" w:eastAsia="仿宋_GB2312" w:cs="仿宋_GB2312"/>
          <w:color w:val="auto"/>
          <w:kern w:val="0"/>
          <w:sz w:val="32"/>
          <w:szCs w:val="32"/>
          <w:u w:val="none"/>
          <w:lang w:val="en-US" w:eastAsia="zh-CN"/>
        </w:rPr>
        <w:t>0.39</w:t>
      </w:r>
      <w:r>
        <w:rPr>
          <w:rFonts w:hint="eastAsia" w:ascii="仿宋_GB2312" w:hAnsi="仿宋_GB2312" w:eastAsia="仿宋_GB2312" w:cs="仿宋_GB2312"/>
          <w:color w:val="auto"/>
          <w:kern w:val="0"/>
          <w:sz w:val="32"/>
          <w:szCs w:val="32"/>
          <w:u w:val="none"/>
        </w:rPr>
        <w:t>万元，完成年初预算的</w:t>
      </w:r>
      <w:r>
        <w:rPr>
          <w:rFonts w:hint="eastAsia" w:ascii="仿宋_GB2312" w:hAnsi="仿宋_GB2312" w:eastAsia="仿宋_GB2312" w:cs="仿宋_GB2312"/>
          <w:color w:val="auto"/>
          <w:kern w:val="0"/>
          <w:sz w:val="32"/>
          <w:szCs w:val="32"/>
          <w:u w:val="none"/>
          <w:lang w:val="en-US" w:eastAsia="zh-CN"/>
        </w:rPr>
        <w:t>0</w:t>
      </w:r>
      <w:r>
        <w:rPr>
          <w:rFonts w:hint="eastAsia" w:ascii="仿宋_GB2312" w:hAnsi="仿宋_GB2312" w:eastAsia="仿宋_GB2312" w:cs="仿宋_GB2312"/>
          <w:color w:val="auto"/>
          <w:kern w:val="0"/>
          <w:sz w:val="32"/>
          <w:szCs w:val="32"/>
          <w:u w:val="none"/>
        </w:rPr>
        <w:t>%。决算数与年初预算数的差异原因：</w:t>
      </w:r>
      <w:r>
        <w:rPr>
          <w:rFonts w:hint="eastAsia" w:ascii="仿宋_GB2312" w:hAnsi="仿宋_GB2312" w:eastAsia="仿宋_GB2312" w:cs="仿宋_GB2312"/>
          <w:color w:val="auto"/>
          <w:kern w:val="0"/>
          <w:sz w:val="32"/>
          <w:szCs w:val="32"/>
          <w:u w:val="none"/>
          <w:lang w:val="en-US" w:eastAsia="zh-CN"/>
        </w:rPr>
        <w:t>年初做预算时，工商保险和失业保险支出功能分类没要求单独做</w:t>
      </w:r>
      <w:r>
        <w:rPr>
          <w:rFonts w:hint="eastAsia" w:ascii="仿宋_GB2312" w:hAnsi="仿宋_GB2312" w:eastAsia="仿宋_GB2312" w:cs="仿宋_GB2312"/>
          <w:color w:val="auto"/>
          <w:kern w:val="0"/>
          <w:sz w:val="32"/>
          <w:szCs w:val="32"/>
          <w:u w:val="none"/>
        </w:rPr>
        <w:t>。</w:t>
      </w:r>
    </w:p>
    <w:p w14:paraId="6DB2FAD4">
      <w:pPr>
        <w:pStyle w:val="2"/>
        <w:ind w:firstLine="640" w:firstLineChars="200"/>
        <w:rPr>
          <w:rFonts w:hint="eastAsia" w:ascii="仿宋_GB2312" w:hAnsi="仿宋_GB2312" w:eastAsia="仿宋_GB2312" w:cs="仿宋_GB2312"/>
          <w:color w:val="auto"/>
          <w:kern w:val="0"/>
          <w:sz w:val="32"/>
          <w:szCs w:val="32"/>
          <w:u w:val="none"/>
          <w:lang w:val="en-US" w:eastAsia="zh-CN"/>
        </w:rPr>
      </w:pPr>
      <w:r>
        <w:rPr>
          <w:rFonts w:hint="eastAsia" w:ascii="仿宋_GB2312" w:hAnsi="仿宋_GB2312" w:eastAsia="仿宋_GB2312" w:cs="仿宋_GB2312"/>
          <w:color w:val="auto"/>
          <w:kern w:val="0"/>
          <w:sz w:val="32"/>
          <w:szCs w:val="32"/>
          <w:u w:val="none"/>
          <w:lang w:val="en-US" w:eastAsia="zh-CN"/>
        </w:rPr>
        <w:t>6.财政对基本养老保险基金的补助（款）财政对企业职工基本养老保险基金的补助（项）</w:t>
      </w:r>
      <w:r>
        <w:rPr>
          <w:rFonts w:hint="eastAsia" w:ascii="仿宋_GB2312" w:hAnsi="仿宋_GB2312" w:eastAsia="仿宋_GB2312" w:cs="仿宋_GB2312"/>
          <w:color w:val="auto"/>
          <w:kern w:val="0"/>
          <w:sz w:val="32"/>
          <w:szCs w:val="32"/>
          <w:u w:val="none"/>
        </w:rPr>
        <w:t>年初预算</w:t>
      </w:r>
      <w:r>
        <w:rPr>
          <w:rFonts w:hint="eastAsia" w:ascii="仿宋_GB2312" w:hAnsi="仿宋_GB2312" w:eastAsia="仿宋_GB2312" w:cs="仿宋_GB2312"/>
          <w:color w:val="auto"/>
          <w:kern w:val="0"/>
          <w:sz w:val="32"/>
          <w:szCs w:val="32"/>
          <w:u w:val="none"/>
          <w:lang w:val="en-US" w:eastAsia="zh-CN"/>
        </w:rPr>
        <w:t>1584.19</w:t>
      </w:r>
      <w:r>
        <w:rPr>
          <w:rFonts w:hint="eastAsia" w:ascii="仿宋_GB2312" w:hAnsi="仿宋_GB2312" w:eastAsia="仿宋_GB2312" w:cs="仿宋_GB2312"/>
          <w:color w:val="auto"/>
          <w:kern w:val="0"/>
          <w:sz w:val="32"/>
          <w:szCs w:val="32"/>
          <w:u w:val="none"/>
        </w:rPr>
        <w:t>万元，支出决算</w:t>
      </w:r>
      <w:r>
        <w:rPr>
          <w:rFonts w:hint="eastAsia" w:ascii="仿宋_GB2312" w:hAnsi="仿宋_GB2312" w:eastAsia="仿宋_GB2312" w:cs="仿宋_GB2312"/>
          <w:color w:val="auto"/>
          <w:kern w:val="0"/>
          <w:sz w:val="32"/>
          <w:szCs w:val="32"/>
          <w:u w:val="none"/>
          <w:lang w:val="en-US" w:eastAsia="zh-CN"/>
        </w:rPr>
        <w:t>0</w:t>
      </w:r>
      <w:r>
        <w:rPr>
          <w:rFonts w:hint="eastAsia" w:ascii="仿宋_GB2312" w:hAnsi="仿宋_GB2312" w:eastAsia="仿宋_GB2312" w:cs="仿宋_GB2312"/>
          <w:color w:val="auto"/>
          <w:kern w:val="0"/>
          <w:sz w:val="32"/>
          <w:szCs w:val="32"/>
          <w:u w:val="none"/>
        </w:rPr>
        <w:t>万元，完成年初预算的</w:t>
      </w:r>
      <w:r>
        <w:rPr>
          <w:rFonts w:hint="eastAsia" w:ascii="仿宋_GB2312" w:hAnsi="仿宋_GB2312" w:eastAsia="仿宋_GB2312" w:cs="仿宋_GB2312"/>
          <w:color w:val="auto"/>
          <w:kern w:val="0"/>
          <w:sz w:val="32"/>
          <w:szCs w:val="32"/>
          <w:u w:val="none"/>
          <w:lang w:val="en-US" w:eastAsia="zh-CN"/>
        </w:rPr>
        <w:t>0</w:t>
      </w:r>
      <w:r>
        <w:rPr>
          <w:rFonts w:hint="eastAsia" w:ascii="仿宋_GB2312" w:hAnsi="仿宋_GB2312" w:eastAsia="仿宋_GB2312" w:cs="仿宋_GB2312"/>
          <w:color w:val="auto"/>
          <w:kern w:val="0"/>
          <w:sz w:val="32"/>
          <w:szCs w:val="32"/>
          <w:u w:val="none"/>
        </w:rPr>
        <w:t>%。决算数与年初预算数的差异原因：</w:t>
      </w:r>
      <w:r>
        <w:rPr>
          <w:rFonts w:hint="eastAsia" w:ascii="仿宋_GB2312" w:hAnsi="仿宋_GB2312" w:eastAsia="仿宋_GB2312" w:cs="仿宋_GB2312"/>
          <w:color w:val="auto"/>
          <w:kern w:val="0"/>
          <w:sz w:val="32"/>
          <w:szCs w:val="32"/>
          <w:u w:val="none"/>
          <w:lang w:val="en-US" w:eastAsia="zh-CN"/>
        </w:rPr>
        <w:t>社保基金项目由财政代列。</w:t>
      </w:r>
    </w:p>
    <w:p w14:paraId="4F9FDF84">
      <w:pPr>
        <w:pStyle w:val="2"/>
        <w:ind w:firstLine="640" w:firstLineChars="200"/>
        <w:rPr>
          <w:rFonts w:hint="eastAsia" w:ascii="仿宋_GB2312" w:hAnsi="仿宋_GB2312" w:eastAsia="仿宋_GB2312" w:cs="仿宋_GB2312"/>
          <w:color w:val="auto"/>
          <w:kern w:val="0"/>
          <w:sz w:val="32"/>
          <w:szCs w:val="32"/>
          <w:u w:val="none"/>
          <w:lang w:val="en-US" w:eastAsia="zh-CN"/>
        </w:rPr>
      </w:pPr>
      <w:r>
        <w:rPr>
          <w:rFonts w:hint="eastAsia" w:ascii="仿宋_GB2312" w:hAnsi="仿宋_GB2312" w:eastAsia="仿宋_GB2312" w:cs="仿宋_GB2312"/>
          <w:color w:val="auto"/>
          <w:kern w:val="0"/>
          <w:sz w:val="32"/>
          <w:szCs w:val="32"/>
          <w:u w:val="none"/>
          <w:lang w:val="en-US" w:eastAsia="zh-CN"/>
        </w:rPr>
        <w:t>7.</w:t>
      </w:r>
      <w:r>
        <w:rPr>
          <w:rFonts w:hint="default" w:ascii="仿宋_GB2312" w:hAnsi="仿宋_GB2312" w:eastAsia="仿宋_GB2312" w:cs="仿宋_GB2312"/>
          <w:color w:val="auto"/>
          <w:kern w:val="0"/>
          <w:sz w:val="32"/>
          <w:szCs w:val="32"/>
          <w:u w:val="none"/>
          <w:lang w:val="en-US" w:eastAsia="zh-CN"/>
        </w:rPr>
        <w:t>行政事业单位养老支出</w:t>
      </w:r>
      <w:r>
        <w:rPr>
          <w:rFonts w:hint="eastAsia" w:ascii="仿宋_GB2312" w:hAnsi="仿宋_GB2312" w:eastAsia="仿宋_GB2312" w:cs="仿宋_GB2312"/>
          <w:color w:val="auto"/>
          <w:kern w:val="0"/>
          <w:sz w:val="32"/>
          <w:szCs w:val="32"/>
          <w:u w:val="none"/>
          <w:lang w:val="en-US" w:eastAsia="zh-CN"/>
        </w:rPr>
        <w:t>（款）</w:t>
      </w:r>
      <w:r>
        <w:rPr>
          <w:rFonts w:hint="default" w:ascii="仿宋_GB2312" w:hAnsi="仿宋_GB2312" w:eastAsia="仿宋_GB2312" w:cs="仿宋_GB2312"/>
          <w:color w:val="auto"/>
          <w:kern w:val="0"/>
          <w:sz w:val="32"/>
          <w:szCs w:val="32"/>
          <w:u w:val="none"/>
          <w:lang w:val="en-US" w:eastAsia="zh-CN"/>
        </w:rPr>
        <w:t>对机关事业单位基本养老保险基金的补助</w:t>
      </w:r>
      <w:r>
        <w:rPr>
          <w:rFonts w:hint="eastAsia" w:ascii="仿宋_GB2312" w:hAnsi="仿宋_GB2312" w:eastAsia="仿宋_GB2312" w:cs="仿宋_GB2312"/>
          <w:color w:val="auto"/>
          <w:kern w:val="0"/>
          <w:sz w:val="32"/>
          <w:szCs w:val="32"/>
          <w:u w:val="none"/>
          <w:lang w:val="en-US" w:eastAsia="zh-CN"/>
        </w:rPr>
        <w:t>（项）</w:t>
      </w:r>
      <w:r>
        <w:rPr>
          <w:rFonts w:hint="eastAsia" w:ascii="仿宋_GB2312" w:hAnsi="仿宋_GB2312" w:eastAsia="仿宋_GB2312" w:cs="仿宋_GB2312"/>
          <w:color w:val="auto"/>
          <w:kern w:val="0"/>
          <w:sz w:val="32"/>
          <w:szCs w:val="32"/>
          <w:u w:val="none"/>
        </w:rPr>
        <w:t>年初预算</w:t>
      </w:r>
      <w:r>
        <w:rPr>
          <w:rFonts w:hint="eastAsia" w:ascii="仿宋_GB2312" w:hAnsi="仿宋_GB2312" w:eastAsia="仿宋_GB2312" w:cs="仿宋_GB2312"/>
          <w:color w:val="auto"/>
          <w:kern w:val="0"/>
          <w:sz w:val="32"/>
          <w:szCs w:val="32"/>
          <w:u w:val="none"/>
          <w:lang w:val="en-US" w:eastAsia="zh-CN"/>
        </w:rPr>
        <w:t>1376.8</w:t>
      </w:r>
      <w:bookmarkStart w:id="1" w:name="_GoBack"/>
      <w:bookmarkEnd w:id="1"/>
      <w:r>
        <w:rPr>
          <w:rFonts w:hint="eastAsia" w:ascii="仿宋_GB2312" w:hAnsi="仿宋_GB2312" w:eastAsia="仿宋_GB2312" w:cs="仿宋_GB2312"/>
          <w:color w:val="auto"/>
          <w:kern w:val="0"/>
          <w:sz w:val="32"/>
          <w:szCs w:val="32"/>
          <w:u w:val="none"/>
        </w:rPr>
        <w:t>万元，支出决算</w:t>
      </w:r>
      <w:r>
        <w:rPr>
          <w:rFonts w:hint="eastAsia" w:ascii="仿宋_GB2312" w:hAnsi="仿宋_GB2312" w:eastAsia="仿宋_GB2312" w:cs="仿宋_GB2312"/>
          <w:color w:val="auto"/>
          <w:kern w:val="0"/>
          <w:sz w:val="32"/>
          <w:szCs w:val="32"/>
          <w:u w:val="none"/>
          <w:lang w:val="en-US" w:eastAsia="zh-CN"/>
        </w:rPr>
        <w:t>0</w:t>
      </w:r>
      <w:r>
        <w:rPr>
          <w:rFonts w:hint="eastAsia" w:ascii="仿宋_GB2312" w:hAnsi="仿宋_GB2312" w:eastAsia="仿宋_GB2312" w:cs="仿宋_GB2312"/>
          <w:color w:val="auto"/>
          <w:kern w:val="0"/>
          <w:sz w:val="32"/>
          <w:szCs w:val="32"/>
          <w:u w:val="none"/>
        </w:rPr>
        <w:t>万元，完成年初预算的</w:t>
      </w:r>
      <w:r>
        <w:rPr>
          <w:rFonts w:hint="eastAsia" w:ascii="仿宋_GB2312" w:hAnsi="仿宋_GB2312" w:eastAsia="仿宋_GB2312" w:cs="仿宋_GB2312"/>
          <w:color w:val="auto"/>
          <w:kern w:val="0"/>
          <w:sz w:val="32"/>
          <w:szCs w:val="32"/>
          <w:u w:val="none"/>
          <w:lang w:val="en-US" w:eastAsia="zh-CN"/>
        </w:rPr>
        <w:t>0</w:t>
      </w:r>
      <w:r>
        <w:rPr>
          <w:rFonts w:hint="eastAsia" w:ascii="仿宋_GB2312" w:hAnsi="仿宋_GB2312" w:eastAsia="仿宋_GB2312" w:cs="仿宋_GB2312"/>
          <w:color w:val="auto"/>
          <w:kern w:val="0"/>
          <w:sz w:val="32"/>
          <w:szCs w:val="32"/>
          <w:u w:val="none"/>
        </w:rPr>
        <w:t>%。决算数与年初预算数的差异原因：</w:t>
      </w:r>
      <w:r>
        <w:rPr>
          <w:rFonts w:hint="eastAsia" w:ascii="仿宋_GB2312" w:hAnsi="仿宋_GB2312" w:eastAsia="仿宋_GB2312" w:cs="仿宋_GB2312"/>
          <w:color w:val="auto"/>
          <w:kern w:val="0"/>
          <w:sz w:val="32"/>
          <w:szCs w:val="32"/>
          <w:u w:val="none"/>
          <w:lang w:val="en-US" w:eastAsia="zh-CN"/>
        </w:rPr>
        <w:t>社保基金项目由财政代列。</w:t>
      </w:r>
    </w:p>
    <w:p w14:paraId="5F639028">
      <w:pPr>
        <w:pStyle w:val="2"/>
        <w:ind w:firstLine="640" w:firstLineChars="200"/>
        <w:rPr>
          <w:rFonts w:hint="eastAsia" w:ascii="仿宋_GB2312" w:hAnsi="仿宋_GB2312" w:eastAsia="仿宋_GB2312" w:cs="仿宋_GB2312"/>
          <w:color w:val="auto"/>
          <w:kern w:val="0"/>
          <w:sz w:val="32"/>
          <w:szCs w:val="32"/>
          <w:u w:val="none"/>
          <w:lang w:val="en-US" w:eastAsia="zh-CN"/>
        </w:rPr>
      </w:pPr>
      <w:r>
        <w:rPr>
          <w:rFonts w:hint="eastAsia" w:ascii="仿宋_GB2312" w:hAnsi="仿宋_GB2312" w:eastAsia="仿宋_GB2312" w:cs="仿宋_GB2312"/>
          <w:color w:val="auto"/>
          <w:kern w:val="0"/>
          <w:sz w:val="32"/>
          <w:szCs w:val="32"/>
          <w:u w:val="none"/>
          <w:lang w:val="en-US" w:eastAsia="zh-CN"/>
        </w:rPr>
        <w:t>8.财政对基本养老保险基金的补助（款）财政对城乡居民基本养老保险基金的补助（项）</w:t>
      </w:r>
      <w:r>
        <w:rPr>
          <w:rFonts w:hint="eastAsia" w:ascii="仿宋_GB2312" w:hAnsi="仿宋_GB2312" w:eastAsia="仿宋_GB2312" w:cs="仿宋_GB2312"/>
          <w:color w:val="auto"/>
          <w:kern w:val="0"/>
          <w:sz w:val="32"/>
          <w:szCs w:val="32"/>
          <w:u w:val="none"/>
        </w:rPr>
        <w:t>年初预算</w:t>
      </w:r>
      <w:r>
        <w:rPr>
          <w:rFonts w:hint="eastAsia" w:ascii="仿宋_GB2312" w:hAnsi="仿宋_GB2312" w:eastAsia="仿宋_GB2312" w:cs="仿宋_GB2312"/>
          <w:color w:val="auto"/>
          <w:kern w:val="0"/>
          <w:sz w:val="32"/>
          <w:szCs w:val="32"/>
          <w:u w:val="none"/>
          <w:lang w:val="en-US" w:eastAsia="zh-CN"/>
        </w:rPr>
        <w:t>78.61</w:t>
      </w:r>
      <w:r>
        <w:rPr>
          <w:rFonts w:hint="eastAsia" w:ascii="仿宋_GB2312" w:hAnsi="仿宋_GB2312" w:eastAsia="仿宋_GB2312" w:cs="仿宋_GB2312"/>
          <w:color w:val="auto"/>
          <w:kern w:val="0"/>
          <w:sz w:val="32"/>
          <w:szCs w:val="32"/>
          <w:u w:val="none"/>
        </w:rPr>
        <w:t>万元，支出决算</w:t>
      </w:r>
      <w:r>
        <w:rPr>
          <w:rFonts w:hint="eastAsia" w:ascii="仿宋_GB2312" w:hAnsi="仿宋_GB2312" w:eastAsia="仿宋_GB2312" w:cs="仿宋_GB2312"/>
          <w:color w:val="auto"/>
          <w:kern w:val="0"/>
          <w:sz w:val="32"/>
          <w:szCs w:val="32"/>
          <w:u w:val="none"/>
          <w:lang w:val="en-US" w:eastAsia="zh-CN"/>
        </w:rPr>
        <w:t>0</w:t>
      </w:r>
      <w:r>
        <w:rPr>
          <w:rFonts w:hint="eastAsia" w:ascii="仿宋_GB2312" w:hAnsi="仿宋_GB2312" w:eastAsia="仿宋_GB2312" w:cs="仿宋_GB2312"/>
          <w:color w:val="auto"/>
          <w:kern w:val="0"/>
          <w:sz w:val="32"/>
          <w:szCs w:val="32"/>
          <w:u w:val="none"/>
        </w:rPr>
        <w:t>万元，完成年初预算的</w:t>
      </w:r>
      <w:r>
        <w:rPr>
          <w:rFonts w:hint="eastAsia" w:ascii="仿宋_GB2312" w:hAnsi="仿宋_GB2312" w:eastAsia="仿宋_GB2312" w:cs="仿宋_GB2312"/>
          <w:color w:val="auto"/>
          <w:kern w:val="0"/>
          <w:sz w:val="32"/>
          <w:szCs w:val="32"/>
          <w:u w:val="none"/>
          <w:lang w:val="en-US" w:eastAsia="zh-CN"/>
        </w:rPr>
        <w:t>0</w:t>
      </w:r>
      <w:r>
        <w:rPr>
          <w:rFonts w:hint="eastAsia" w:ascii="仿宋_GB2312" w:hAnsi="仿宋_GB2312" w:eastAsia="仿宋_GB2312" w:cs="仿宋_GB2312"/>
          <w:color w:val="auto"/>
          <w:kern w:val="0"/>
          <w:sz w:val="32"/>
          <w:szCs w:val="32"/>
          <w:u w:val="none"/>
        </w:rPr>
        <w:t>%。决算数与年初预算数的差异原因：</w:t>
      </w:r>
      <w:r>
        <w:rPr>
          <w:rFonts w:hint="eastAsia" w:ascii="仿宋_GB2312" w:hAnsi="仿宋_GB2312" w:eastAsia="仿宋_GB2312" w:cs="仿宋_GB2312"/>
          <w:color w:val="auto"/>
          <w:kern w:val="0"/>
          <w:sz w:val="32"/>
          <w:szCs w:val="32"/>
          <w:u w:val="none"/>
          <w:lang w:val="en-US" w:eastAsia="zh-CN"/>
        </w:rPr>
        <w:t>社保基金项目由财政代列。</w:t>
      </w:r>
    </w:p>
    <w:p w14:paraId="729EA2B4">
      <w:pPr>
        <w:pStyle w:val="2"/>
        <w:ind w:firstLine="640" w:firstLineChars="200"/>
        <w:rPr>
          <w:rFonts w:hint="default" w:ascii="仿宋_GB2312" w:hAnsi="仿宋_GB2312" w:eastAsia="仿宋_GB2312" w:cs="仿宋_GB2312"/>
          <w:color w:val="auto"/>
          <w:kern w:val="0"/>
          <w:sz w:val="32"/>
          <w:szCs w:val="32"/>
          <w:u w:val="none"/>
          <w:lang w:val="en-US" w:eastAsia="zh-CN"/>
        </w:rPr>
      </w:pPr>
      <w:r>
        <w:rPr>
          <w:rFonts w:hint="eastAsia" w:ascii="仿宋_GB2312" w:hAnsi="仿宋_GB2312" w:eastAsia="仿宋_GB2312" w:cs="仿宋_GB2312"/>
          <w:color w:val="auto"/>
          <w:kern w:val="0"/>
          <w:sz w:val="32"/>
          <w:szCs w:val="32"/>
          <w:u w:val="none"/>
          <w:lang w:val="en-US" w:eastAsia="zh-CN"/>
        </w:rPr>
        <w:t>9.财政对其他社会保险基金的补助（款）财政对工伤保险基金的补助（项）</w:t>
      </w:r>
      <w:r>
        <w:rPr>
          <w:rFonts w:hint="eastAsia" w:ascii="仿宋_GB2312" w:hAnsi="仿宋_GB2312" w:eastAsia="仿宋_GB2312" w:cs="仿宋_GB2312"/>
          <w:color w:val="auto"/>
          <w:kern w:val="0"/>
          <w:sz w:val="32"/>
          <w:szCs w:val="32"/>
          <w:u w:val="none"/>
        </w:rPr>
        <w:t>年初预算</w:t>
      </w:r>
      <w:r>
        <w:rPr>
          <w:rFonts w:hint="eastAsia" w:ascii="仿宋_GB2312" w:hAnsi="仿宋_GB2312" w:eastAsia="仿宋_GB2312" w:cs="仿宋_GB2312"/>
          <w:color w:val="auto"/>
          <w:kern w:val="0"/>
          <w:sz w:val="32"/>
          <w:szCs w:val="32"/>
          <w:u w:val="none"/>
          <w:lang w:val="en-US" w:eastAsia="zh-CN"/>
        </w:rPr>
        <w:t>236.37</w:t>
      </w:r>
      <w:r>
        <w:rPr>
          <w:rFonts w:hint="eastAsia" w:ascii="仿宋_GB2312" w:hAnsi="仿宋_GB2312" w:eastAsia="仿宋_GB2312" w:cs="仿宋_GB2312"/>
          <w:color w:val="auto"/>
          <w:kern w:val="0"/>
          <w:sz w:val="32"/>
          <w:szCs w:val="32"/>
          <w:u w:val="none"/>
        </w:rPr>
        <w:t>万元，支出决算</w:t>
      </w:r>
      <w:r>
        <w:rPr>
          <w:rFonts w:hint="eastAsia" w:ascii="仿宋_GB2312" w:hAnsi="仿宋_GB2312" w:eastAsia="仿宋_GB2312" w:cs="仿宋_GB2312"/>
          <w:color w:val="auto"/>
          <w:kern w:val="0"/>
          <w:sz w:val="32"/>
          <w:szCs w:val="32"/>
          <w:u w:val="none"/>
          <w:lang w:val="en-US" w:eastAsia="zh-CN"/>
        </w:rPr>
        <w:t>0</w:t>
      </w:r>
      <w:r>
        <w:rPr>
          <w:rFonts w:hint="eastAsia" w:ascii="仿宋_GB2312" w:hAnsi="仿宋_GB2312" w:eastAsia="仿宋_GB2312" w:cs="仿宋_GB2312"/>
          <w:color w:val="auto"/>
          <w:kern w:val="0"/>
          <w:sz w:val="32"/>
          <w:szCs w:val="32"/>
          <w:u w:val="none"/>
        </w:rPr>
        <w:t>万元，完成年初预算的</w:t>
      </w:r>
      <w:r>
        <w:rPr>
          <w:rFonts w:hint="eastAsia" w:ascii="仿宋_GB2312" w:hAnsi="仿宋_GB2312" w:eastAsia="仿宋_GB2312" w:cs="仿宋_GB2312"/>
          <w:color w:val="auto"/>
          <w:kern w:val="0"/>
          <w:sz w:val="32"/>
          <w:szCs w:val="32"/>
          <w:u w:val="none"/>
          <w:lang w:val="en-US" w:eastAsia="zh-CN"/>
        </w:rPr>
        <w:t>0</w:t>
      </w:r>
      <w:r>
        <w:rPr>
          <w:rFonts w:hint="eastAsia" w:ascii="仿宋_GB2312" w:hAnsi="仿宋_GB2312" w:eastAsia="仿宋_GB2312" w:cs="仿宋_GB2312"/>
          <w:color w:val="auto"/>
          <w:kern w:val="0"/>
          <w:sz w:val="32"/>
          <w:szCs w:val="32"/>
          <w:u w:val="none"/>
        </w:rPr>
        <w:t>%。决算数与年初预算数的差异原因：</w:t>
      </w:r>
      <w:r>
        <w:rPr>
          <w:rFonts w:hint="eastAsia" w:ascii="仿宋_GB2312" w:hAnsi="仿宋_GB2312" w:eastAsia="仿宋_GB2312" w:cs="仿宋_GB2312"/>
          <w:color w:val="auto"/>
          <w:kern w:val="0"/>
          <w:sz w:val="32"/>
          <w:szCs w:val="32"/>
          <w:u w:val="none"/>
          <w:lang w:val="en-US" w:eastAsia="zh-CN"/>
        </w:rPr>
        <w:t>社保基金项目由财政代列。</w:t>
      </w:r>
    </w:p>
    <w:p w14:paraId="25114492">
      <w:pPr>
        <w:pStyle w:val="2"/>
        <w:rPr>
          <w:rFonts w:ascii="Times New Roman" w:hAnsi="Times New Roman" w:eastAsia="Times New Roman" w:cs="Times New Roman"/>
          <w:color w:val="auto"/>
          <w:kern w:val="0"/>
          <w:sz w:val="24"/>
          <w:u w:val="none"/>
        </w:rPr>
      </w:pPr>
      <w:r>
        <w:rPr>
          <w:rFonts w:hint="eastAsia" w:ascii="仿宋_GB2312" w:hAnsi="仿宋_GB2312" w:eastAsia="仿宋_GB2312" w:cs="仿宋_GB2312"/>
          <w:color w:val="auto"/>
          <w:kern w:val="0"/>
          <w:sz w:val="32"/>
          <w:szCs w:val="32"/>
          <w:u w:val="none"/>
          <w:lang w:val="en-US" w:eastAsia="zh-CN"/>
        </w:rPr>
        <w:t xml:space="preserve">   </w:t>
      </w:r>
      <w:r>
        <w:rPr>
          <w:rFonts w:ascii="方正楷体_GB2312" w:hAnsi="方正楷体_GB2312" w:eastAsia="方正楷体_GB2312" w:cs="方正楷体_GB2312"/>
          <w:b/>
          <w:bCs/>
          <w:color w:val="auto"/>
          <w:kern w:val="0"/>
          <w:sz w:val="27"/>
          <w:szCs w:val="27"/>
          <w:u w:val="none"/>
        </w:rPr>
        <w:t> </w:t>
      </w:r>
      <w:r>
        <w:rPr>
          <w:rFonts w:hint="eastAsia" w:ascii="方正楷体_GB2312" w:hAnsi="方正楷体_GB2312" w:eastAsia="方正楷体_GB2312" w:cs="方正楷体_GB2312"/>
          <w:b/>
          <w:bCs/>
          <w:color w:val="auto"/>
          <w:kern w:val="0"/>
          <w:sz w:val="27"/>
          <w:szCs w:val="27"/>
          <w:u w:val="none"/>
          <w:lang w:val="en-US" w:eastAsia="zh-CN"/>
        </w:rPr>
        <w:t xml:space="preserve">  </w:t>
      </w:r>
      <w:r>
        <w:rPr>
          <w:rFonts w:ascii="方正楷体_GB2312" w:hAnsi="方正楷体_GB2312" w:eastAsia="方正楷体_GB2312" w:cs="方正楷体_GB2312"/>
          <w:b/>
          <w:bCs/>
          <w:color w:val="auto"/>
          <w:kern w:val="0"/>
          <w:sz w:val="27"/>
          <w:szCs w:val="27"/>
          <w:u w:val="none"/>
        </w:rPr>
        <w:t> （</w:t>
      </w:r>
      <w:r>
        <w:rPr>
          <w:rFonts w:hint="eastAsia" w:ascii="方正楷体_GB2312" w:hAnsi="方正楷体_GB2312" w:cs="方正楷体_GB2312"/>
          <w:b/>
          <w:bCs/>
          <w:color w:val="auto"/>
          <w:kern w:val="0"/>
          <w:sz w:val="27"/>
          <w:szCs w:val="27"/>
          <w:u w:val="none"/>
          <w:lang w:val="en-US" w:eastAsia="zh-CN"/>
        </w:rPr>
        <w:t>二</w:t>
      </w:r>
      <w:r>
        <w:rPr>
          <w:rFonts w:ascii="方正楷体_GB2312" w:hAnsi="方正楷体_GB2312" w:eastAsia="方正楷体_GB2312" w:cs="方正楷体_GB2312"/>
          <w:b/>
          <w:bCs/>
          <w:color w:val="auto"/>
          <w:kern w:val="0"/>
          <w:sz w:val="27"/>
          <w:szCs w:val="27"/>
          <w:u w:val="none"/>
        </w:rPr>
        <w:t>）卫生健康支出（类）</w:t>
      </w:r>
    </w:p>
    <w:p w14:paraId="130F6BEE">
      <w:pPr>
        <w:pageBreakBefore w:val="0"/>
        <w:widowControl/>
        <w:kinsoku/>
        <w:wordWrap/>
        <w:overflowPunct/>
        <w:topLinePunct w:val="0"/>
        <w:autoSpaceDE/>
        <w:autoSpaceDN/>
        <w:bidi w:val="0"/>
        <w:spacing w:before="240" w:after="240" w:line="560" w:lineRule="exact"/>
        <w:rPr>
          <w:rFonts w:hint="eastAsia" w:ascii="仿宋_GB2312" w:hAnsi="仿宋_GB2312" w:eastAsia="仿宋_GB2312" w:cs="仿宋_GB2312"/>
          <w:color w:val="auto"/>
          <w:kern w:val="0"/>
          <w:sz w:val="32"/>
          <w:szCs w:val="32"/>
          <w:u w:val="none"/>
        </w:rPr>
      </w:pPr>
      <w:r>
        <w:rPr>
          <w:rFonts w:ascii="方正楷体_GB2312" w:hAnsi="方正楷体_GB2312" w:eastAsia="方正楷体_GB2312" w:cs="方正楷体_GB2312"/>
          <w:color w:val="auto"/>
          <w:kern w:val="0"/>
          <w:sz w:val="27"/>
          <w:szCs w:val="27"/>
          <w:u w:val="none"/>
        </w:rPr>
        <w:t> </w:t>
      </w:r>
      <w:r>
        <w:rPr>
          <w:rFonts w:hint="eastAsia" w:ascii="仿宋_GB2312" w:hAnsi="仿宋_GB2312" w:eastAsia="仿宋_GB2312" w:cs="仿宋_GB2312"/>
          <w:color w:val="auto"/>
          <w:kern w:val="0"/>
          <w:sz w:val="32"/>
          <w:szCs w:val="32"/>
          <w:u w:val="none"/>
        </w:rPr>
        <w:t> </w:t>
      </w:r>
      <w:r>
        <w:rPr>
          <w:rFonts w:hint="eastAsia" w:ascii="仿宋_GB2312" w:hAnsi="仿宋_GB2312" w:eastAsia="仿宋_GB2312" w:cs="仿宋_GB2312"/>
          <w:color w:val="auto"/>
          <w:kern w:val="0"/>
          <w:sz w:val="32"/>
          <w:szCs w:val="32"/>
          <w:u w:val="none"/>
          <w:lang w:val="en-US" w:eastAsia="zh-CN"/>
        </w:rPr>
        <w:t xml:space="preserve">  </w:t>
      </w:r>
      <w:r>
        <w:rPr>
          <w:rFonts w:hint="eastAsia" w:ascii="仿宋_GB2312" w:hAnsi="仿宋_GB2312" w:eastAsia="仿宋_GB2312" w:cs="仿宋_GB2312"/>
          <w:color w:val="auto"/>
          <w:kern w:val="0"/>
          <w:sz w:val="32"/>
          <w:szCs w:val="32"/>
          <w:u w:val="none"/>
        </w:rPr>
        <w:t>卫生健康支出类决算数为20.75万元，与年初预算相比减少5.80万元。其中：</w:t>
      </w:r>
    </w:p>
    <w:p w14:paraId="52129E1C">
      <w:pPr>
        <w:pageBreakBefore w:val="0"/>
        <w:widowControl/>
        <w:kinsoku/>
        <w:wordWrap/>
        <w:overflowPunct/>
        <w:topLinePunct w:val="0"/>
        <w:autoSpaceDE/>
        <w:autoSpaceDN/>
        <w:bidi w:val="0"/>
        <w:spacing w:before="240" w:after="240" w:line="560" w:lineRule="exact"/>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 </w:t>
      </w:r>
      <w:r>
        <w:rPr>
          <w:rFonts w:hint="eastAsia" w:ascii="仿宋_GB2312" w:hAnsi="仿宋_GB2312" w:eastAsia="仿宋_GB2312" w:cs="仿宋_GB2312"/>
          <w:color w:val="auto"/>
          <w:kern w:val="0"/>
          <w:sz w:val="32"/>
          <w:szCs w:val="32"/>
          <w:u w:val="none"/>
          <w:lang w:val="en-US" w:eastAsia="zh-CN"/>
        </w:rPr>
        <w:t xml:space="preserve">   </w:t>
      </w:r>
      <w:r>
        <w:rPr>
          <w:rFonts w:hint="eastAsia" w:ascii="仿宋_GB2312" w:hAnsi="仿宋_GB2312" w:eastAsia="仿宋_GB2312" w:cs="仿宋_GB2312"/>
          <w:color w:val="auto"/>
          <w:kern w:val="0"/>
          <w:sz w:val="32"/>
          <w:szCs w:val="32"/>
          <w:u w:val="none"/>
        </w:rPr>
        <w:t> 1</w:t>
      </w:r>
      <w:r>
        <w:rPr>
          <w:rFonts w:hint="eastAsia" w:ascii="仿宋_GB2312" w:hAnsi="仿宋_GB2312" w:eastAsia="仿宋_GB2312" w:cs="仿宋_GB2312"/>
          <w:color w:val="auto"/>
          <w:kern w:val="0"/>
          <w:sz w:val="32"/>
          <w:szCs w:val="32"/>
          <w:u w:val="none"/>
          <w:lang w:eastAsia="zh-CN"/>
        </w:rPr>
        <w:t>、</w:t>
      </w:r>
      <w:r>
        <w:rPr>
          <w:rFonts w:hint="eastAsia" w:ascii="仿宋_GB2312" w:hAnsi="仿宋_GB2312" w:eastAsia="仿宋_GB2312" w:cs="仿宋_GB2312"/>
          <w:color w:val="auto"/>
          <w:kern w:val="0"/>
          <w:sz w:val="32"/>
          <w:szCs w:val="32"/>
          <w:u w:val="none"/>
        </w:rPr>
        <w:t>行政事业单位医疗（款）事业单位医疗（项）。年初预算</w:t>
      </w:r>
      <w:r>
        <w:rPr>
          <w:rFonts w:hint="eastAsia" w:ascii="仿宋_GB2312" w:hAnsi="仿宋_GB2312" w:eastAsia="仿宋_GB2312" w:cs="仿宋_GB2312"/>
          <w:color w:val="auto"/>
          <w:kern w:val="0"/>
          <w:sz w:val="32"/>
          <w:szCs w:val="32"/>
          <w:u w:val="none"/>
          <w:lang w:val="en-US" w:eastAsia="zh-CN"/>
        </w:rPr>
        <w:t>26.55</w:t>
      </w:r>
      <w:r>
        <w:rPr>
          <w:rFonts w:hint="eastAsia" w:ascii="仿宋_GB2312" w:hAnsi="仿宋_GB2312" w:eastAsia="仿宋_GB2312" w:cs="仿宋_GB2312"/>
          <w:color w:val="auto"/>
          <w:kern w:val="0"/>
          <w:sz w:val="32"/>
          <w:szCs w:val="32"/>
          <w:u w:val="none"/>
        </w:rPr>
        <w:t>万元，支出决算</w:t>
      </w:r>
      <w:r>
        <w:rPr>
          <w:rFonts w:hint="eastAsia" w:ascii="仿宋_GB2312" w:hAnsi="仿宋_GB2312" w:eastAsia="仿宋_GB2312" w:cs="仿宋_GB2312"/>
          <w:color w:val="auto"/>
          <w:kern w:val="0"/>
          <w:sz w:val="32"/>
          <w:szCs w:val="32"/>
          <w:u w:val="none"/>
          <w:lang w:val="en-US" w:eastAsia="zh-CN"/>
        </w:rPr>
        <w:t>20.75</w:t>
      </w:r>
      <w:r>
        <w:rPr>
          <w:rFonts w:hint="eastAsia" w:ascii="仿宋_GB2312" w:hAnsi="仿宋_GB2312" w:eastAsia="仿宋_GB2312" w:cs="仿宋_GB2312"/>
          <w:color w:val="auto"/>
          <w:kern w:val="0"/>
          <w:sz w:val="32"/>
          <w:szCs w:val="32"/>
          <w:u w:val="none"/>
        </w:rPr>
        <w:t>万元，完成年初预算的</w:t>
      </w:r>
      <w:r>
        <w:rPr>
          <w:rFonts w:hint="eastAsia" w:ascii="仿宋_GB2312" w:hAnsi="仿宋_GB2312" w:eastAsia="仿宋_GB2312" w:cs="仿宋_GB2312"/>
          <w:color w:val="auto"/>
          <w:kern w:val="0"/>
          <w:sz w:val="32"/>
          <w:szCs w:val="32"/>
          <w:u w:val="none"/>
          <w:lang w:val="en-US" w:eastAsia="zh-CN"/>
        </w:rPr>
        <w:t>78.15</w:t>
      </w:r>
      <w:r>
        <w:rPr>
          <w:rFonts w:hint="eastAsia" w:ascii="仿宋_GB2312" w:hAnsi="仿宋_GB2312" w:eastAsia="仿宋_GB2312" w:cs="仿宋_GB2312"/>
          <w:color w:val="auto"/>
          <w:kern w:val="0"/>
          <w:sz w:val="32"/>
          <w:szCs w:val="32"/>
          <w:u w:val="none"/>
        </w:rPr>
        <w:t>%。决算数与年初预算数的差异原因：</w:t>
      </w:r>
      <w:r>
        <w:rPr>
          <w:rFonts w:hint="eastAsia" w:ascii="仿宋_GB2312" w:hAnsi="仿宋_GB2312" w:eastAsia="仿宋_GB2312" w:cs="仿宋_GB2312"/>
          <w:color w:val="auto"/>
          <w:kern w:val="0"/>
          <w:sz w:val="32"/>
          <w:szCs w:val="32"/>
          <w:u w:val="none"/>
          <w:lang w:val="en-US" w:eastAsia="zh-CN"/>
        </w:rPr>
        <w:t>机构改革2023年人员减少</w:t>
      </w:r>
      <w:r>
        <w:rPr>
          <w:rFonts w:hint="eastAsia" w:ascii="仿宋_GB2312" w:hAnsi="仿宋_GB2312" w:eastAsia="仿宋_GB2312" w:cs="仿宋_GB2312"/>
          <w:color w:val="auto"/>
          <w:kern w:val="0"/>
          <w:sz w:val="32"/>
          <w:szCs w:val="32"/>
          <w:u w:val="none"/>
        </w:rPr>
        <w:t>。</w:t>
      </w:r>
    </w:p>
    <w:p w14:paraId="395AEAF8">
      <w:pPr>
        <w:pageBreakBefore w:val="0"/>
        <w:widowControl/>
        <w:kinsoku/>
        <w:wordWrap/>
        <w:overflowPunct/>
        <w:topLinePunct w:val="0"/>
        <w:autoSpaceDE/>
        <w:autoSpaceDN/>
        <w:bidi w:val="0"/>
        <w:spacing w:before="240" w:after="240" w:line="560" w:lineRule="exac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color w:val="auto"/>
          <w:kern w:val="0"/>
          <w:sz w:val="27"/>
          <w:szCs w:val="27"/>
          <w:u w:val="none"/>
        </w:rPr>
        <w:t> </w:t>
      </w:r>
      <w:r>
        <w:rPr>
          <w:rFonts w:ascii="方正楷体_GB2312" w:hAnsi="方正楷体_GB2312" w:eastAsia="方正楷体_GB2312" w:cs="方正楷体_GB2312"/>
          <w:b/>
          <w:bCs/>
          <w:color w:val="auto"/>
          <w:kern w:val="0"/>
          <w:sz w:val="27"/>
          <w:szCs w:val="27"/>
          <w:u w:val="none"/>
        </w:rPr>
        <w:t>  （</w:t>
      </w:r>
      <w:r>
        <w:rPr>
          <w:rFonts w:hint="eastAsia" w:ascii="方正楷体_GB2312" w:hAnsi="方正楷体_GB2312" w:cs="方正楷体_GB2312"/>
          <w:b/>
          <w:bCs/>
          <w:color w:val="auto"/>
          <w:kern w:val="0"/>
          <w:sz w:val="27"/>
          <w:szCs w:val="27"/>
          <w:u w:val="none"/>
          <w:lang w:val="en-US" w:eastAsia="zh-CN"/>
        </w:rPr>
        <w:t>三</w:t>
      </w:r>
      <w:r>
        <w:rPr>
          <w:rFonts w:ascii="方正楷体_GB2312" w:hAnsi="方正楷体_GB2312" w:eastAsia="方正楷体_GB2312" w:cs="方正楷体_GB2312"/>
          <w:b/>
          <w:bCs/>
          <w:color w:val="auto"/>
          <w:kern w:val="0"/>
          <w:sz w:val="27"/>
          <w:szCs w:val="27"/>
          <w:u w:val="none"/>
        </w:rPr>
        <w:t>）住房保障支出（类）</w:t>
      </w:r>
    </w:p>
    <w:p w14:paraId="003ED419">
      <w:pPr>
        <w:pageBreakBefore w:val="0"/>
        <w:widowControl/>
        <w:kinsoku/>
        <w:wordWrap/>
        <w:overflowPunct/>
        <w:topLinePunct w:val="0"/>
        <w:autoSpaceDE/>
        <w:autoSpaceDN/>
        <w:bidi w:val="0"/>
        <w:spacing w:before="240" w:after="240" w:line="560" w:lineRule="exact"/>
        <w:ind w:firstLine="640" w:firstLineChars="200"/>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住房保障支出类决算数为34.66万元，与年初预算相比减少0.69万元。其中：</w:t>
      </w:r>
    </w:p>
    <w:p w14:paraId="36001781">
      <w:pPr>
        <w:pageBreakBefore w:val="0"/>
        <w:widowControl/>
        <w:numPr>
          <w:ilvl w:val="0"/>
          <w:numId w:val="4"/>
        </w:numPr>
        <w:kinsoku/>
        <w:wordWrap/>
        <w:overflowPunct/>
        <w:topLinePunct w:val="0"/>
        <w:autoSpaceDE/>
        <w:autoSpaceDN/>
        <w:bidi w:val="0"/>
        <w:spacing w:before="240" w:after="240" w:line="560" w:lineRule="exact"/>
        <w:ind w:firstLine="640" w:firstLineChars="200"/>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住房改革支出（款）住房公积金（项）。年初预算</w:t>
      </w:r>
      <w:r>
        <w:rPr>
          <w:rFonts w:hint="eastAsia" w:ascii="仿宋_GB2312" w:hAnsi="仿宋_GB2312" w:eastAsia="仿宋_GB2312" w:cs="仿宋_GB2312"/>
          <w:color w:val="auto"/>
          <w:kern w:val="0"/>
          <w:sz w:val="32"/>
          <w:szCs w:val="32"/>
          <w:u w:val="none"/>
          <w:lang w:val="en-US" w:eastAsia="zh-CN"/>
        </w:rPr>
        <w:t>35.35</w:t>
      </w:r>
      <w:r>
        <w:rPr>
          <w:rFonts w:hint="eastAsia" w:ascii="仿宋_GB2312" w:hAnsi="仿宋_GB2312" w:eastAsia="仿宋_GB2312" w:cs="仿宋_GB2312"/>
          <w:color w:val="auto"/>
          <w:kern w:val="0"/>
          <w:sz w:val="32"/>
          <w:szCs w:val="32"/>
          <w:u w:val="none"/>
        </w:rPr>
        <w:t>万元，支出决算</w:t>
      </w:r>
      <w:r>
        <w:rPr>
          <w:rFonts w:hint="eastAsia" w:ascii="仿宋_GB2312" w:hAnsi="仿宋_GB2312" w:eastAsia="仿宋_GB2312" w:cs="仿宋_GB2312"/>
          <w:color w:val="auto"/>
          <w:kern w:val="0"/>
          <w:sz w:val="32"/>
          <w:szCs w:val="32"/>
          <w:u w:val="none"/>
          <w:lang w:val="en-US" w:eastAsia="zh-CN"/>
        </w:rPr>
        <w:t>34.66</w:t>
      </w:r>
      <w:r>
        <w:rPr>
          <w:rFonts w:hint="eastAsia" w:ascii="仿宋_GB2312" w:hAnsi="仿宋_GB2312" w:eastAsia="仿宋_GB2312" w:cs="仿宋_GB2312"/>
          <w:color w:val="auto"/>
          <w:kern w:val="0"/>
          <w:sz w:val="32"/>
          <w:szCs w:val="32"/>
          <w:u w:val="none"/>
        </w:rPr>
        <w:t>万元，完成年初预算的</w:t>
      </w:r>
      <w:r>
        <w:rPr>
          <w:rFonts w:hint="eastAsia" w:ascii="仿宋_GB2312" w:hAnsi="仿宋_GB2312" w:eastAsia="仿宋_GB2312" w:cs="仿宋_GB2312"/>
          <w:color w:val="auto"/>
          <w:kern w:val="0"/>
          <w:sz w:val="32"/>
          <w:szCs w:val="32"/>
          <w:u w:val="none"/>
          <w:lang w:val="en-US" w:eastAsia="zh-CN"/>
        </w:rPr>
        <w:t>98.05</w:t>
      </w:r>
      <w:r>
        <w:rPr>
          <w:rFonts w:hint="eastAsia" w:ascii="仿宋_GB2312" w:hAnsi="仿宋_GB2312" w:eastAsia="仿宋_GB2312" w:cs="仿宋_GB2312"/>
          <w:color w:val="auto"/>
          <w:kern w:val="0"/>
          <w:sz w:val="32"/>
          <w:szCs w:val="32"/>
          <w:u w:val="none"/>
        </w:rPr>
        <w:t>%。决算数与年初预算数的差异原因：</w:t>
      </w:r>
      <w:r>
        <w:rPr>
          <w:rFonts w:hint="eastAsia" w:ascii="仿宋_GB2312" w:hAnsi="仿宋_GB2312" w:eastAsia="仿宋_GB2312" w:cs="仿宋_GB2312"/>
          <w:color w:val="auto"/>
          <w:kern w:val="0"/>
          <w:sz w:val="32"/>
          <w:szCs w:val="32"/>
          <w:u w:val="none"/>
          <w:lang w:val="en-US" w:eastAsia="zh-CN"/>
        </w:rPr>
        <w:t>机构改革2023年人员减少</w:t>
      </w:r>
      <w:r>
        <w:rPr>
          <w:rFonts w:hint="eastAsia" w:ascii="仿宋_GB2312" w:hAnsi="仿宋_GB2312" w:eastAsia="仿宋_GB2312" w:cs="仿宋_GB2312"/>
          <w:color w:val="auto"/>
          <w:kern w:val="0"/>
          <w:sz w:val="32"/>
          <w:szCs w:val="32"/>
          <w:u w:val="none"/>
        </w:rPr>
        <w:t>。</w:t>
      </w:r>
    </w:p>
    <w:p w14:paraId="62853437">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ascii="Times New Roman" w:hAnsi="Times New Roman" w:eastAsia="Times New Roman" w:cs="Times New Roman"/>
          <w:color w:val="auto"/>
          <w:kern w:val="0"/>
          <w:sz w:val="24"/>
          <w:u w:val="none"/>
        </w:rPr>
      </w:pPr>
      <w:r>
        <w:rPr>
          <w:rFonts w:ascii="Calibri" w:hAnsi="Calibri" w:eastAsia="Calibri" w:cs="Calibri"/>
          <w:b/>
          <w:bCs/>
          <w:color w:val="auto"/>
          <w:kern w:val="0"/>
          <w:sz w:val="27"/>
          <w:szCs w:val="27"/>
          <w:u w:val="none"/>
        </w:rPr>
        <w:t>  </w:t>
      </w:r>
      <w:r>
        <w:rPr>
          <w:rFonts w:ascii="黑体" w:hAnsi="黑体" w:eastAsia="黑体" w:cs="黑体"/>
          <w:b/>
          <w:bCs/>
          <w:color w:val="auto"/>
          <w:kern w:val="0"/>
          <w:sz w:val="27"/>
          <w:szCs w:val="27"/>
          <w:u w:val="none"/>
        </w:rPr>
        <w:t>六、一般公共预算财政拨款基本支出决算情况说明</w:t>
      </w:r>
    </w:p>
    <w:p w14:paraId="4935901E">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textAlignment w:val="auto"/>
        <w:rPr>
          <w:rFonts w:hint="eastAsia" w:ascii="仿宋_GB2312" w:hAnsi="仿宋_GB2312" w:eastAsia="仿宋_GB2312" w:cs="仿宋_GB2312"/>
          <w:color w:val="auto"/>
          <w:kern w:val="0"/>
          <w:sz w:val="32"/>
          <w:szCs w:val="32"/>
          <w:u w:val="none"/>
        </w:rPr>
      </w:pPr>
      <w:r>
        <w:rPr>
          <w:rFonts w:ascii="方正楷体_GB2312" w:hAnsi="方正楷体_GB2312" w:eastAsia="方正楷体_GB2312" w:cs="方正楷体_GB2312"/>
          <w:color w:val="auto"/>
          <w:kern w:val="0"/>
          <w:sz w:val="27"/>
          <w:szCs w:val="27"/>
          <w:u w:val="none"/>
        </w:rPr>
        <w:t> </w:t>
      </w:r>
      <w:r>
        <w:rPr>
          <w:rFonts w:hint="eastAsia" w:ascii="仿宋_GB2312" w:hAnsi="仿宋_GB2312" w:eastAsia="仿宋_GB2312" w:cs="仿宋_GB2312"/>
          <w:color w:val="auto"/>
          <w:kern w:val="0"/>
          <w:sz w:val="32"/>
          <w:szCs w:val="32"/>
          <w:u w:val="none"/>
        </w:rPr>
        <w:t>内蒙古自治区巴彦淖尔市乌拉特后旗社会保险事业服务中心2023年度一般公共预算财政拨款基本支出决算424.01万元，其中：</w:t>
      </w:r>
    </w:p>
    <w:p w14:paraId="0F835799">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kern w:val="0"/>
          <w:sz w:val="32"/>
          <w:szCs w:val="32"/>
          <w:u w:val="none"/>
          <w:lang w:val="en-US" w:eastAsia="zh-CN"/>
        </w:rPr>
      </w:pPr>
      <w:r>
        <w:rPr>
          <w:rFonts w:hint="eastAsia" w:ascii="仿宋_GB2312" w:hAnsi="仿宋_GB2312" w:eastAsia="仿宋_GB2312" w:cs="仿宋_GB2312"/>
          <w:b/>
          <w:bCs/>
          <w:color w:val="auto"/>
          <w:kern w:val="0"/>
          <w:sz w:val="32"/>
          <w:szCs w:val="32"/>
          <w:u w:val="none"/>
        </w:rPr>
        <w:t>  （一）人员经费</w:t>
      </w:r>
      <w:r>
        <w:rPr>
          <w:rFonts w:hint="eastAsia" w:ascii="仿宋_GB2312" w:hAnsi="仿宋_GB2312" w:eastAsia="仿宋_GB2312" w:cs="仿宋_GB2312"/>
          <w:color w:val="auto"/>
          <w:kern w:val="0"/>
          <w:sz w:val="32"/>
          <w:szCs w:val="32"/>
          <w:u w:val="none"/>
        </w:rPr>
        <w:t>400.20</w:t>
      </w:r>
      <w:r>
        <w:rPr>
          <w:rFonts w:hint="eastAsia" w:ascii="仿宋_GB2312" w:hAnsi="仿宋_GB2312" w:eastAsia="仿宋_GB2312" w:cs="仿宋_GB2312"/>
          <w:b/>
          <w:bCs/>
          <w:color w:val="auto"/>
          <w:kern w:val="0"/>
          <w:sz w:val="32"/>
          <w:szCs w:val="32"/>
          <w:u w:val="none"/>
        </w:rPr>
        <w:t>万元</w:t>
      </w:r>
      <w:r>
        <w:rPr>
          <w:rFonts w:hint="eastAsia" w:ascii="仿宋_GB2312" w:hAnsi="仿宋_GB2312" w:eastAsia="仿宋_GB2312" w:cs="仿宋_GB2312"/>
          <w:color w:val="auto"/>
          <w:kern w:val="0"/>
          <w:sz w:val="32"/>
          <w:szCs w:val="32"/>
          <w:u w:val="none"/>
        </w:rPr>
        <w:t>。主要包括：基本工资61.39</w:t>
      </w:r>
      <w:r>
        <w:rPr>
          <w:rFonts w:hint="eastAsia" w:ascii="仿宋_GB2312" w:hAnsi="仿宋_GB2312" w:eastAsia="仿宋_GB2312" w:cs="仿宋_GB2312"/>
          <w:color w:val="auto"/>
          <w:kern w:val="0"/>
          <w:sz w:val="32"/>
          <w:szCs w:val="32"/>
          <w:u w:val="none"/>
          <w:lang w:val="en-US" w:eastAsia="zh-CN"/>
        </w:rPr>
        <w:t>万元</w:t>
      </w:r>
      <w:r>
        <w:rPr>
          <w:rFonts w:hint="eastAsia" w:ascii="仿宋_GB2312" w:hAnsi="仿宋_GB2312" w:eastAsia="仿宋_GB2312" w:cs="仿宋_GB2312"/>
          <w:color w:val="auto"/>
          <w:kern w:val="0"/>
          <w:sz w:val="32"/>
          <w:szCs w:val="32"/>
          <w:u w:val="none"/>
        </w:rPr>
        <w:t>、津贴补贴136.93</w:t>
      </w:r>
      <w:r>
        <w:rPr>
          <w:rFonts w:hint="eastAsia" w:ascii="仿宋_GB2312" w:hAnsi="仿宋_GB2312" w:eastAsia="仿宋_GB2312" w:cs="仿宋_GB2312"/>
          <w:color w:val="auto"/>
          <w:kern w:val="0"/>
          <w:sz w:val="32"/>
          <w:szCs w:val="32"/>
          <w:u w:val="none"/>
          <w:lang w:val="en-US" w:eastAsia="zh-CN"/>
        </w:rPr>
        <w:t>万元</w:t>
      </w:r>
      <w:r>
        <w:rPr>
          <w:rFonts w:hint="eastAsia" w:ascii="仿宋_GB2312" w:hAnsi="仿宋_GB2312" w:eastAsia="仿宋_GB2312" w:cs="仿宋_GB2312"/>
          <w:color w:val="auto"/>
          <w:kern w:val="0"/>
          <w:sz w:val="32"/>
          <w:szCs w:val="32"/>
          <w:u w:val="none"/>
        </w:rPr>
        <w:t>、奖金</w:t>
      </w:r>
      <w:r>
        <w:rPr>
          <w:rFonts w:hint="eastAsia" w:ascii="仿宋_GB2312" w:hAnsi="仿宋_GB2312" w:eastAsia="仿宋_GB2312" w:cs="仿宋_GB2312"/>
          <w:color w:val="auto"/>
          <w:kern w:val="0"/>
          <w:sz w:val="32"/>
          <w:szCs w:val="32"/>
          <w:u w:val="none"/>
          <w:lang w:val="en-US" w:eastAsia="zh-CN"/>
        </w:rPr>
        <w:t>42.73万元</w:t>
      </w:r>
      <w:r>
        <w:rPr>
          <w:rFonts w:hint="eastAsia" w:ascii="仿宋_GB2312" w:hAnsi="仿宋_GB2312" w:eastAsia="仿宋_GB2312" w:cs="仿宋_GB2312"/>
          <w:color w:val="auto"/>
          <w:kern w:val="0"/>
          <w:sz w:val="32"/>
          <w:szCs w:val="32"/>
          <w:u w:val="none"/>
        </w:rPr>
        <w:t>、绩效工资30.42</w:t>
      </w:r>
      <w:r>
        <w:rPr>
          <w:rFonts w:hint="eastAsia" w:ascii="仿宋_GB2312" w:hAnsi="仿宋_GB2312" w:eastAsia="仿宋_GB2312" w:cs="仿宋_GB2312"/>
          <w:color w:val="auto"/>
          <w:kern w:val="0"/>
          <w:sz w:val="32"/>
          <w:szCs w:val="32"/>
          <w:u w:val="none"/>
          <w:lang w:val="en-US" w:eastAsia="zh-CN"/>
        </w:rPr>
        <w:t>万元</w:t>
      </w:r>
      <w:r>
        <w:rPr>
          <w:rFonts w:hint="eastAsia" w:ascii="仿宋_GB2312" w:hAnsi="仿宋_GB2312" w:eastAsia="仿宋_GB2312" w:cs="仿宋_GB2312"/>
          <w:color w:val="auto"/>
          <w:kern w:val="0"/>
          <w:sz w:val="32"/>
          <w:szCs w:val="32"/>
          <w:u w:val="none"/>
        </w:rPr>
        <w:t>、机关事业单位基本养老保险缴费</w:t>
      </w:r>
      <w:r>
        <w:rPr>
          <w:rFonts w:hint="eastAsia" w:ascii="仿宋_GB2312" w:hAnsi="仿宋_GB2312" w:eastAsia="仿宋_GB2312" w:cs="仿宋_GB2312"/>
          <w:color w:val="auto"/>
          <w:kern w:val="0"/>
          <w:sz w:val="32"/>
          <w:szCs w:val="32"/>
          <w:u w:val="none"/>
        </w:rPr>
        <w:tab/>
      </w:r>
      <w:r>
        <w:rPr>
          <w:rFonts w:hint="eastAsia" w:ascii="仿宋_GB2312" w:hAnsi="仿宋_GB2312" w:eastAsia="仿宋_GB2312" w:cs="仿宋_GB2312"/>
          <w:color w:val="auto"/>
          <w:kern w:val="0"/>
          <w:sz w:val="32"/>
          <w:szCs w:val="32"/>
          <w:u w:val="none"/>
        </w:rPr>
        <w:t>32.57</w:t>
      </w:r>
      <w:r>
        <w:rPr>
          <w:rFonts w:hint="eastAsia" w:ascii="仿宋_GB2312" w:hAnsi="仿宋_GB2312" w:eastAsia="仿宋_GB2312" w:cs="仿宋_GB2312"/>
          <w:color w:val="auto"/>
          <w:kern w:val="0"/>
          <w:sz w:val="32"/>
          <w:szCs w:val="32"/>
          <w:u w:val="none"/>
          <w:lang w:val="en-US" w:eastAsia="zh-CN"/>
        </w:rPr>
        <w:t>万元、</w:t>
      </w:r>
      <w:r>
        <w:rPr>
          <w:rFonts w:hint="eastAsia" w:ascii="仿宋_GB2312" w:hAnsi="仿宋_GB2312" w:eastAsia="仿宋_GB2312" w:cs="仿宋_GB2312"/>
          <w:color w:val="auto"/>
          <w:kern w:val="0"/>
          <w:sz w:val="32"/>
          <w:szCs w:val="32"/>
          <w:u w:val="none"/>
        </w:rPr>
        <w:t>职业年金缴费3.77</w:t>
      </w:r>
      <w:r>
        <w:rPr>
          <w:rFonts w:hint="eastAsia" w:ascii="仿宋_GB2312" w:hAnsi="仿宋_GB2312" w:eastAsia="仿宋_GB2312" w:cs="仿宋_GB2312"/>
          <w:color w:val="auto"/>
          <w:kern w:val="0"/>
          <w:sz w:val="32"/>
          <w:szCs w:val="32"/>
          <w:u w:val="none"/>
          <w:lang w:val="en-US" w:eastAsia="zh-CN"/>
        </w:rPr>
        <w:t>万元、</w:t>
      </w:r>
      <w:r>
        <w:rPr>
          <w:rFonts w:hint="eastAsia" w:ascii="仿宋_GB2312" w:hAnsi="仿宋_GB2312" w:eastAsia="仿宋_GB2312" w:cs="仿宋_GB2312"/>
          <w:color w:val="auto"/>
          <w:kern w:val="0"/>
          <w:sz w:val="32"/>
          <w:szCs w:val="32"/>
          <w:u w:val="none"/>
        </w:rPr>
        <w:t>职工基本医疗保险缴费20.75</w:t>
      </w:r>
      <w:r>
        <w:rPr>
          <w:rFonts w:hint="eastAsia" w:ascii="仿宋_GB2312" w:hAnsi="仿宋_GB2312" w:eastAsia="仿宋_GB2312" w:cs="仿宋_GB2312"/>
          <w:color w:val="auto"/>
          <w:kern w:val="0"/>
          <w:sz w:val="32"/>
          <w:szCs w:val="32"/>
          <w:u w:val="none"/>
          <w:lang w:val="en-US" w:eastAsia="zh-CN"/>
        </w:rPr>
        <w:t>万元、</w:t>
      </w:r>
      <w:r>
        <w:rPr>
          <w:rFonts w:hint="eastAsia" w:ascii="仿宋_GB2312" w:hAnsi="仿宋_GB2312" w:eastAsia="仿宋_GB2312" w:cs="仿宋_GB2312"/>
          <w:color w:val="auto"/>
          <w:kern w:val="0"/>
          <w:sz w:val="32"/>
          <w:szCs w:val="32"/>
          <w:u w:val="none"/>
        </w:rPr>
        <w:t>其他社会保障缴费0.39</w:t>
      </w:r>
      <w:r>
        <w:rPr>
          <w:rFonts w:hint="eastAsia" w:ascii="仿宋_GB2312" w:hAnsi="仿宋_GB2312" w:eastAsia="仿宋_GB2312" w:cs="仿宋_GB2312"/>
          <w:color w:val="auto"/>
          <w:kern w:val="0"/>
          <w:sz w:val="32"/>
          <w:szCs w:val="32"/>
          <w:u w:val="none"/>
          <w:lang w:val="en-US" w:eastAsia="zh-CN"/>
        </w:rPr>
        <w:t>万元、</w:t>
      </w:r>
      <w:r>
        <w:rPr>
          <w:rFonts w:hint="eastAsia" w:ascii="仿宋_GB2312" w:hAnsi="仿宋_GB2312" w:eastAsia="仿宋_GB2312" w:cs="仿宋_GB2312"/>
          <w:color w:val="auto"/>
          <w:kern w:val="0"/>
          <w:sz w:val="32"/>
          <w:szCs w:val="32"/>
          <w:u w:val="none"/>
        </w:rPr>
        <w:t>住房公积金34.66</w:t>
      </w:r>
      <w:r>
        <w:rPr>
          <w:rFonts w:hint="eastAsia" w:ascii="仿宋_GB2312" w:hAnsi="仿宋_GB2312" w:eastAsia="仿宋_GB2312" w:cs="仿宋_GB2312"/>
          <w:color w:val="auto"/>
          <w:kern w:val="0"/>
          <w:sz w:val="32"/>
          <w:szCs w:val="32"/>
          <w:u w:val="none"/>
          <w:lang w:val="en-US" w:eastAsia="zh-CN"/>
        </w:rPr>
        <w:t>万元、</w:t>
      </w:r>
      <w:r>
        <w:rPr>
          <w:rFonts w:hint="eastAsia" w:ascii="仿宋_GB2312" w:hAnsi="仿宋_GB2312" w:eastAsia="仿宋_GB2312" w:cs="仿宋_GB2312"/>
          <w:color w:val="auto"/>
          <w:kern w:val="0"/>
          <w:sz w:val="32"/>
          <w:szCs w:val="32"/>
          <w:u w:val="none"/>
        </w:rPr>
        <w:t>其他工资福利支出7.45</w:t>
      </w:r>
      <w:r>
        <w:rPr>
          <w:rFonts w:hint="eastAsia" w:ascii="仿宋_GB2312" w:hAnsi="仿宋_GB2312" w:eastAsia="仿宋_GB2312" w:cs="仿宋_GB2312"/>
          <w:color w:val="auto"/>
          <w:kern w:val="0"/>
          <w:sz w:val="32"/>
          <w:szCs w:val="32"/>
          <w:u w:val="none"/>
          <w:lang w:val="en-US" w:eastAsia="zh-CN"/>
        </w:rPr>
        <w:t>万元、</w:t>
      </w:r>
      <w:r>
        <w:rPr>
          <w:rFonts w:hint="eastAsia" w:ascii="仿宋_GB2312" w:hAnsi="仿宋_GB2312" w:eastAsia="仿宋_GB2312" w:cs="仿宋_GB2312"/>
          <w:color w:val="auto"/>
          <w:kern w:val="0"/>
          <w:sz w:val="32"/>
          <w:szCs w:val="32"/>
          <w:u w:val="none"/>
        </w:rPr>
        <w:t>对个人和家庭的补助29.14</w:t>
      </w:r>
      <w:r>
        <w:rPr>
          <w:rFonts w:hint="eastAsia" w:ascii="仿宋_GB2312" w:hAnsi="仿宋_GB2312" w:eastAsia="仿宋_GB2312" w:cs="仿宋_GB2312"/>
          <w:color w:val="auto"/>
          <w:kern w:val="0"/>
          <w:sz w:val="32"/>
          <w:szCs w:val="32"/>
          <w:u w:val="none"/>
          <w:lang w:val="en-US" w:eastAsia="zh-CN"/>
        </w:rPr>
        <w:t>万元。</w:t>
      </w:r>
    </w:p>
    <w:p w14:paraId="7CE713FC">
      <w:pPr>
        <w:keepNext w:val="0"/>
        <w:keepLines w:val="0"/>
        <w:pageBreakBefore w:val="0"/>
        <w:widowControl/>
        <w:kinsoku/>
        <w:wordWrap/>
        <w:overflowPunct/>
        <w:topLinePunct w:val="0"/>
        <w:autoSpaceDE/>
        <w:autoSpaceDN/>
        <w:bidi w:val="0"/>
        <w:adjustRightInd/>
        <w:snapToGrid/>
        <w:spacing w:before="240" w:after="240" w:line="560" w:lineRule="exact"/>
        <w:ind w:firstLine="643" w:firstLineChars="200"/>
        <w:textAlignment w:val="auto"/>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b/>
          <w:bCs/>
          <w:color w:val="auto"/>
          <w:kern w:val="0"/>
          <w:sz w:val="32"/>
          <w:szCs w:val="32"/>
          <w:u w:val="none"/>
        </w:rPr>
        <w:t>（二）公用经费</w:t>
      </w:r>
      <w:r>
        <w:rPr>
          <w:rFonts w:hint="eastAsia" w:ascii="仿宋_GB2312" w:hAnsi="仿宋_GB2312" w:eastAsia="仿宋_GB2312" w:cs="仿宋_GB2312"/>
          <w:color w:val="auto"/>
          <w:kern w:val="0"/>
          <w:sz w:val="32"/>
          <w:szCs w:val="32"/>
          <w:u w:val="none"/>
        </w:rPr>
        <w:t>23.81</w:t>
      </w:r>
      <w:r>
        <w:rPr>
          <w:rFonts w:hint="eastAsia" w:ascii="仿宋_GB2312" w:hAnsi="仿宋_GB2312" w:eastAsia="仿宋_GB2312" w:cs="仿宋_GB2312"/>
          <w:b/>
          <w:bCs/>
          <w:color w:val="auto"/>
          <w:kern w:val="0"/>
          <w:sz w:val="32"/>
          <w:szCs w:val="32"/>
          <w:u w:val="none"/>
        </w:rPr>
        <w:t>万元</w:t>
      </w:r>
      <w:r>
        <w:rPr>
          <w:rFonts w:hint="eastAsia" w:ascii="仿宋_GB2312" w:hAnsi="仿宋_GB2312" w:eastAsia="仿宋_GB2312" w:cs="仿宋_GB2312"/>
          <w:color w:val="auto"/>
          <w:kern w:val="0"/>
          <w:sz w:val="32"/>
          <w:szCs w:val="32"/>
          <w:u w:val="none"/>
        </w:rPr>
        <w:t>。主要包括：办公费7.67</w:t>
      </w:r>
      <w:r>
        <w:rPr>
          <w:rFonts w:hint="eastAsia" w:ascii="仿宋_GB2312" w:hAnsi="仿宋_GB2312" w:eastAsia="仿宋_GB2312" w:cs="仿宋_GB2312"/>
          <w:color w:val="auto"/>
          <w:kern w:val="0"/>
          <w:sz w:val="32"/>
          <w:szCs w:val="32"/>
          <w:u w:val="none"/>
          <w:lang w:val="en-US" w:eastAsia="zh-CN"/>
        </w:rPr>
        <w:t>万元、</w:t>
      </w:r>
      <w:r>
        <w:rPr>
          <w:rFonts w:hint="eastAsia" w:ascii="仿宋_GB2312" w:hAnsi="仿宋_GB2312" w:eastAsia="仿宋_GB2312" w:cs="仿宋_GB2312"/>
          <w:color w:val="auto"/>
          <w:kern w:val="0"/>
          <w:sz w:val="32"/>
          <w:szCs w:val="32"/>
          <w:u w:val="none"/>
        </w:rPr>
        <w:t>印刷费1.50</w:t>
      </w:r>
      <w:r>
        <w:rPr>
          <w:rFonts w:hint="eastAsia" w:ascii="仿宋_GB2312" w:hAnsi="仿宋_GB2312" w:eastAsia="仿宋_GB2312" w:cs="仿宋_GB2312"/>
          <w:color w:val="auto"/>
          <w:kern w:val="0"/>
          <w:sz w:val="32"/>
          <w:szCs w:val="32"/>
          <w:u w:val="none"/>
          <w:lang w:val="en-US" w:eastAsia="zh-CN"/>
        </w:rPr>
        <w:t>万元、</w:t>
      </w:r>
      <w:r>
        <w:rPr>
          <w:rFonts w:hint="eastAsia" w:ascii="仿宋_GB2312" w:hAnsi="仿宋_GB2312" w:eastAsia="仿宋_GB2312" w:cs="仿宋_GB2312"/>
          <w:color w:val="auto"/>
          <w:kern w:val="0"/>
          <w:sz w:val="32"/>
          <w:szCs w:val="32"/>
          <w:u w:val="none"/>
        </w:rPr>
        <w:t>电费0.70</w:t>
      </w:r>
      <w:r>
        <w:rPr>
          <w:rFonts w:hint="eastAsia" w:ascii="仿宋_GB2312" w:hAnsi="仿宋_GB2312" w:eastAsia="仿宋_GB2312" w:cs="仿宋_GB2312"/>
          <w:color w:val="auto"/>
          <w:kern w:val="0"/>
          <w:sz w:val="32"/>
          <w:szCs w:val="32"/>
          <w:u w:val="none"/>
          <w:lang w:val="en-US" w:eastAsia="zh-CN"/>
        </w:rPr>
        <w:t>万元、</w:t>
      </w:r>
      <w:r>
        <w:rPr>
          <w:rFonts w:hint="eastAsia" w:ascii="仿宋_GB2312" w:hAnsi="仿宋_GB2312" w:eastAsia="仿宋_GB2312" w:cs="仿宋_GB2312"/>
          <w:color w:val="auto"/>
          <w:kern w:val="0"/>
          <w:sz w:val="32"/>
          <w:szCs w:val="32"/>
          <w:u w:val="none"/>
        </w:rPr>
        <w:t>邮电费1.45</w:t>
      </w:r>
      <w:r>
        <w:rPr>
          <w:rFonts w:hint="eastAsia" w:ascii="仿宋_GB2312" w:hAnsi="仿宋_GB2312" w:eastAsia="仿宋_GB2312" w:cs="仿宋_GB2312"/>
          <w:color w:val="auto"/>
          <w:kern w:val="0"/>
          <w:sz w:val="32"/>
          <w:szCs w:val="32"/>
          <w:u w:val="none"/>
          <w:lang w:val="en-US" w:eastAsia="zh-CN"/>
        </w:rPr>
        <w:t>万元、</w:t>
      </w:r>
      <w:r>
        <w:rPr>
          <w:rFonts w:hint="eastAsia" w:ascii="仿宋_GB2312" w:hAnsi="仿宋_GB2312" w:eastAsia="仿宋_GB2312" w:cs="仿宋_GB2312"/>
          <w:color w:val="auto"/>
          <w:kern w:val="0"/>
          <w:sz w:val="32"/>
          <w:szCs w:val="32"/>
          <w:u w:val="none"/>
        </w:rPr>
        <w:t>维修（护）费1.00</w:t>
      </w:r>
      <w:r>
        <w:rPr>
          <w:rFonts w:hint="eastAsia" w:ascii="仿宋_GB2312" w:hAnsi="仿宋_GB2312" w:eastAsia="仿宋_GB2312" w:cs="仿宋_GB2312"/>
          <w:color w:val="auto"/>
          <w:kern w:val="0"/>
          <w:sz w:val="32"/>
          <w:szCs w:val="32"/>
          <w:u w:val="none"/>
          <w:lang w:val="en-US" w:eastAsia="zh-CN"/>
        </w:rPr>
        <w:t>万元、</w:t>
      </w:r>
      <w:r>
        <w:rPr>
          <w:rFonts w:hint="eastAsia" w:ascii="仿宋_GB2312" w:hAnsi="仿宋_GB2312" w:eastAsia="仿宋_GB2312" w:cs="仿宋_GB2312"/>
          <w:color w:val="auto"/>
          <w:kern w:val="0"/>
          <w:sz w:val="32"/>
          <w:szCs w:val="32"/>
          <w:u w:val="none"/>
        </w:rPr>
        <w:t>培训费0.10</w:t>
      </w:r>
      <w:r>
        <w:rPr>
          <w:rFonts w:hint="eastAsia" w:ascii="仿宋_GB2312" w:hAnsi="仿宋_GB2312" w:eastAsia="仿宋_GB2312" w:cs="仿宋_GB2312"/>
          <w:color w:val="auto"/>
          <w:kern w:val="0"/>
          <w:sz w:val="32"/>
          <w:szCs w:val="32"/>
          <w:u w:val="none"/>
          <w:lang w:val="en-US" w:eastAsia="zh-CN"/>
        </w:rPr>
        <w:t>万元、</w:t>
      </w:r>
      <w:r>
        <w:rPr>
          <w:rFonts w:hint="eastAsia" w:ascii="仿宋_GB2312" w:hAnsi="仿宋_GB2312" w:eastAsia="仿宋_GB2312" w:cs="仿宋_GB2312"/>
          <w:color w:val="auto"/>
          <w:kern w:val="0"/>
          <w:sz w:val="32"/>
          <w:szCs w:val="32"/>
          <w:u w:val="none"/>
        </w:rPr>
        <w:t>劳务费3.00</w:t>
      </w:r>
      <w:r>
        <w:rPr>
          <w:rFonts w:hint="eastAsia" w:ascii="仿宋_GB2312" w:hAnsi="仿宋_GB2312" w:eastAsia="仿宋_GB2312" w:cs="仿宋_GB2312"/>
          <w:color w:val="auto"/>
          <w:kern w:val="0"/>
          <w:sz w:val="32"/>
          <w:szCs w:val="32"/>
          <w:u w:val="none"/>
          <w:lang w:val="en-US" w:eastAsia="zh-CN"/>
        </w:rPr>
        <w:t>万元、</w:t>
      </w:r>
      <w:r>
        <w:rPr>
          <w:rFonts w:hint="eastAsia" w:ascii="仿宋_GB2312" w:hAnsi="仿宋_GB2312" w:eastAsia="仿宋_GB2312" w:cs="仿宋_GB2312"/>
          <w:color w:val="auto"/>
          <w:kern w:val="0"/>
          <w:sz w:val="32"/>
          <w:szCs w:val="32"/>
          <w:u w:val="none"/>
        </w:rPr>
        <w:t>其他交通费用1.10</w:t>
      </w:r>
      <w:r>
        <w:rPr>
          <w:rFonts w:hint="eastAsia" w:ascii="仿宋_GB2312" w:hAnsi="仿宋_GB2312" w:eastAsia="仿宋_GB2312" w:cs="仿宋_GB2312"/>
          <w:color w:val="auto"/>
          <w:kern w:val="0"/>
          <w:sz w:val="32"/>
          <w:szCs w:val="32"/>
          <w:u w:val="none"/>
          <w:lang w:val="en-US" w:eastAsia="zh-CN"/>
        </w:rPr>
        <w:t>万元、</w:t>
      </w:r>
      <w:r>
        <w:rPr>
          <w:rFonts w:hint="eastAsia" w:ascii="仿宋_GB2312" w:hAnsi="仿宋_GB2312" w:eastAsia="仿宋_GB2312" w:cs="仿宋_GB2312"/>
          <w:color w:val="auto"/>
          <w:kern w:val="0"/>
          <w:sz w:val="32"/>
          <w:szCs w:val="32"/>
          <w:u w:val="none"/>
        </w:rPr>
        <w:t>其他商品和服务支出3.82</w:t>
      </w:r>
      <w:r>
        <w:rPr>
          <w:rFonts w:hint="eastAsia" w:ascii="仿宋_GB2312" w:hAnsi="仿宋_GB2312" w:eastAsia="仿宋_GB2312" w:cs="仿宋_GB2312"/>
          <w:color w:val="auto"/>
          <w:kern w:val="0"/>
          <w:sz w:val="32"/>
          <w:szCs w:val="32"/>
          <w:u w:val="none"/>
          <w:lang w:val="en-US" w:eastAsia="zh-CN"/>
        </w:rPr>
        <w:t>万元、</w:t>
      </w:r>
      <w:r>
        <w:rPr>
          <w:rFonts w:hint="eastAsia" w:ascii="仿宋_GB2312" w:hAnsi="仿宋_GB2312" w:eastAsia="仿宋_GB2312" w:cs="仿宋_GB2312"/>
          <w:color w:val="auto"/>
          <w:kern w:val="0"/>
          <w:sz w:val="32"/>
          <w:szCs w:val="32"/>
          <w:u w:val="none"/>
        </w:rPr>
        <w:t>办公设备购置</w:t>
      </w:r>
      <w:r>
        <w:rPr>
          <w:rFonts w:hint="eastAsia" w:ascii="仿宋_GB2312" w:hAnsi="仿宋_GB2312" w:eastAsia="仿宋_GB2312" w:cs="仿宋_GB2312"/>
          <w:color w:val="auto"/>
          <w:kern w:val="0"/>
          <w:sz w:val="32"/>
          <w:szCs w:val="32"/>
          <w:u w:val="none"/>
          <w:lang w:val="en-US" w:eastAsia="zh-CN"/>
        </w:rPr>
        <w:t>3.47万元。</w:t>
      </w:r>
    </w:p>
    <w:p w14:paraId="2183538B">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ascii="Times New Roman" w:hAnsi="Times New Roman" w:eastAsia="Times New Roman" w:cs="Times New Roman"/>
          <w:color w:val="auto"/>
          <w:kern w:val="0"/>
          <w:sz w:val="24"/>
          <w:u w:val="none"/>
        </w:rPr>
      </w:pPr>
      <w:r>
        <w:rPr>
          <w:rFonts w:ascii="Calibri" w:hAnsi="Calibri" w:eastAsia="Calibri" w:cs="Calibri"/>
          <w:b/>
          <w:bCs/>
          <w:color w:val="auto"/>
          <w:kern w:val="0"/>
          <w:sz w:val="27"/>
          <w:szCs w:val="27"/>
          <w:u w:val="none"/>
        </w:rPr>
        <w:t>  </w:t>
      </w:r>
      <w:r>
        <w:rPr>
          <w:rFonts w:ascii="黑体" w:hAnsi="黑体" w:eastAsia="黑体" w:cs="黑体"/>
          <w:b/>
          <w:bCs/>
          <w:color w:val="auto"/>
          <w:kern w:val="0"/>
          <w:sz w:val="27"/>
          <w:szCs w:val="27"/>
          <w:u w:val="none"/>
        </w:rPr>
        <w:t>七、一般公共预算财政拨款项目支出决算情况说明</w:t>
      </w:r>
    </w:p>
    <w:p w14:paraId="732EE6E5">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textAlignment w:val="auto"/>
        <w:rPr>
          <w:rFonts w:hint="eastAsia" w:ascii="仿宋_GB2312" w:hAnsi="仿宋_GB2312" w:eastAsia="仿宋_GB2312" w:cs="仿宋_GB2312"/>
          <w:color w:val="auto"/>
          <w:kern w:val="0"/>
          <w:sz w:val="32"/>
          <w:szCs w:val="32"/>
          <w:u w:val="none"/>
        </w:rPr>
      </w:pPr>
      <w:r>
        <w:rPr>
          <w:rFonts w:ascii="方正楷体_GB2312" w:hAnsi="方正楷体_GB2312" w:eastAsia="方正楷体_GB2312" w:cs="方正楷体_GB2312"/>
          <w:color w:val="auto"/>
          <w:kern w:val="0"/>
          <w:sz w:val="27"/>
          <w:szCs w:val="27"/>
          <w:u w:val="none"/>
        </w:rPr>
        <w:t> </w:t>
      </w:r>
      <w:r>
        <w:rPr>
          <w:rFonts w:hint="eastAsia" w:ascii="仿宋_GB2312" w:hAnsi="仿宋_GB2312" w:eastAsia="仿宋_GB2312" w:cs="仿宋_GB2312"/>
          <w:color w:val="auto"/>
          <w:kern w:val="0"/>
          <w:sz w:val="32"/>
          <w:szCs w:val="32"/>
          <w:u w:val="none"/>
        </w:rPr>
        <w:t>内蒙古自治区巴彦淖尔市乌拉特后旗社会保险事业服务中心2023年度一般公共预算财政拨款项目支出决算5.99万元，其中：</w:t>
      </w:r>
    </w:p>
    <w:p w14:paraId="72ECC045">
      <w:pPr>
        <w:keepNext w:val="0"/>
        <w:keepLines w:val="0"/>
        <w:pageBreakBefore w:val="0"/>
        <w:widowControl/>
        <w:kinsoku/>
        <w:wordWrap/>
        <w:overflowPunct/>
        <w:topLinePunct w:val="0"/>
        <w:autoSpaceDE/>
        <w:autoSpaceDN/>
        <w:bidi w:val="0"/>
        <w:adjustRightInd/>
        <w:snapToGrid/>
        <w:spacing w:before="240" w:after="240" w:line="560" w:lineRule="exact"/>
        <w:ind w:firstLine="643" w:firstLineChars="200"/>
        <w:textAlignment w:val="auto"/>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b/>
          <w:bCs/>
          <w:color w:val="auto"/>
          <w:kern w:val="0"/>
          <w:sz w:val="32"/>
          <w:szCs w:val="32"/>
          <w:u w:val="none"/>
        </w:rPr>
        <w:t>（一）工资福利支出</w:t>
      </w:r>
      <w:r>
        <w:rPr>
          <w:rFonts w:hint="eastAsia" w:ascii="仿宋_GB2312" w:hAnsi="仿宋_GB2312" w:eastAsia="仿宋_GB2312" w:cs="仿宋_GB2312"/>
          <w:color w:val="auto"/>
          <w:kern w:val="0"/>
          <w:sz w:val="32"/>
          <w:szCs w:val="32"/>
          <w:u w:val="none"/>
        </w:rPr>
        <w:t>0.00</w:t>
      </w:r>
      <w:r>
        <w:rPr>
          <w:rFonts w:hint="eastAsia" w:ascii="仿宋_GB2312" w:hAnsi="仿宋_GB2312" w:eastAsia="仿宋_GB2312" w:cs="仿宋_GB2312"/>
          <w:b/>
          <w:bCs/>
          <w:color w:val="auto"/>
          <w:kern w:val="0"/>
          <w:sz w:val="32"/>
          <w:szCs w:val="32"/>
          <w:u w:val="none"/>
        </w:rPr>
        <w:t>万元</w:t>
      </w:r>
      <w:r>
        <w:rPr>
          <w:rFonts w:hint="eastAsia" w:ascii="仿宋_GB2312" w:hAnsi="仿宋_GB2312" w:eastAsia="仿宋_GB2312" w:cs="仿宋_GB2312"/>
          <w:color w:val="auto"/>
          <w:kern w:val="0"/>
          <w:sz w:val="32"/>
          <w:szCs w:val="32"/>
          <w:u w:val="none"/>
        </w:rPr>
        <w:t>。主要包括：基本工资、津贴补贴、奖金、伙食补助费、绩效工资、机关事业单位基本养老保险缴费、职业年金缴费、职工基本医疗保险缴费、公务员医疗补助缴费、其他社会保障缴费、住房公积金、医疗费、其他工资福利支出等。</w:t>
      </w:r>
    </w:p>
    <w:p w14:paraId="251C0577">
      <w:pPr>
        <w:keepNext w:val="0"/>
        <w:keepLines w:val="0"/>
        <w:pageBreakBefore w:val="0"/>
        <w:widowControl/>
        <w:kinsoku/>
        <w:wordWrap/>
        <w:overflowPunct/>
        <w:topLinePunct w:val="0"/>
        <w:autoSpaceDE/>
        <w:autoSpaceDN/>
        <w:bidi w:val="0"/>
        <w:adjustRightInd/>
        <w:snapToGrid/>
        <w:spacing w:before="240" w:after="240" w:line="560" w:lineRule="exact"/>
        <w:ind w:firstLine="643" w:firstLineChars="200"/>
        <w:textAlignment w:val="auto"/>
        <w:rPr>
          <w:rFonts w:hint="eastAsia" w:ascii="仿宋_GB2312" w:hAnsi="仿宋_GB2312" w:eastAsia="仿宋_GB2312" w:cs="仿宋_GB2312"/>
          <w:color w:val="auto"/>
          <w:kern w:val="0"/>
          <w:sz w:val="32"/>
          <w:szCs w:val="32"/>
          <w:u w:val="none"/>
          <w:lang w:val="en-US" w:eastAsia="zh-CN"/>
        </w:rPr>
      </w:pPr>
      <w:r>
        <w:rPr>
          <w:rFonts w:hint="eastAsia" w:ascii="仿宋_GB2312" w:hAnsi="仿宋_GB2312" w:eastAsia="仿宋_GB2312" w:cs="仿宋_GB2312"/>
          <w:b/>
          <w:bCs/>
          <w:color w:val="auto"/>
          <w:kern w:val="0"/>
          <w:sz w:val="32"/>
          <w:szCs w:val="32"/>
          <w:u w:val="none"/>
        </w:rPr>
        <w:t>（二）商品和服务支出</w:t>
      </w:r>
      <w:r>
        <w:rPr>
          <w:rFonts w:hint="eastAsia" w:ascii="仿宋_GB2312" w:hAnsi="仿宋_GB2312" w:eastAsia="仿宋_GB2312" w:cs="仿宋_GB2312"/>
          <w:color w:val="auto"/>
          <w:kern w:val="0"/>
          <w:sz w:val="32"/>
          <w:szCs w:val="32"/>
          <w:u w:val="none"/>
        </w:rPr>
        <w:t>3.95</w:t>
      </w:r>
      <w:r>
        <w:rPr>
          <w:rFonts w:hint="eastAsia" w:ascii="仿宋_GB2312" w:hAnsi="仿宋_GB2312" w:eastAsia="仿宋_GB2312" w:cs="仿宋_GB2312"/>
          <w:b/>
          <w:bCs/>
          <w:color w:val="auto"/>
          <w:kern w:val="0"/>
          <w:sz w:val="32"/>
          <w:szCs w:val="32"/>
          <w:u w:val="none"/>
        </w:rPr>
        <w:t>万元</w:t>
      </w:r>
      <w:r>
        <w:rPr>
          <w:rFonts w:hint="eastAsia" w:ascii="仿宋_GB2312" w:hAnsi="仿宋_GB2312" w:eastAsia="仿宋_GB2312" w:cs="仿宋_GB2312"/>
          <w:color w:val="auto"/>
          <w:kern w:val="0"/>
          <w:sz w:val="32"/>
          <w:szCs w:val="32"/>
          <w:u w:val="none"/>
        </w:rPr>
        <w:t>。主要包括：办公费</w:t>
      </w:r>
      <w:r>
        <w:rPr>
          <w:rFonts w:hint="eastAsia" w:ascii="仿宋_GB2312" w:hAnsi="仿宋_GB2312" w:eastAsia="仿宋_GB2312" w:cs="仿宋_GB2312"/>
          <w:color w:val="auto"/>
          <w:kern w:val="0"/>
          <w:sz w:val="32"/>
          <w:szCs w:val="32"/>
          <w:u w:val="none"/>
          <w:lang w:val="en-US" w:eastAsia="zh-CN"/>
        </w:rPr>
        <w:t>1.95万元</w:t>
      </w:r>
      <w:r>
        <w:rPr>
          <w:rFonts w:hint="eastAsia" w:ascii="仿宋_GB2312" w:hAnsi="仿宋_GB2312" w:eastAsia="仿宋_GB2312" w:cs="仿宋_GB2312"/>
          <w:color w:val="auto"/>
          <w:kern w:val="0"/>
          <w:sz w:val="32"/>
          <w:szCs w:val="32"/>
          <w:u w:val="none"/>
        </w:rPr>
        <w:t>、维修（护）费</w:t>
      </w:r>
      <w:r>
        <w:rPr>
          <w:rFonts w:hint="eastAsia" w:ascii="仿宋_GB2312" w:hAnsi="仿宋_GB2312" w:eastAsia="仿宋_GB2312" w:cs="仿宋_GB2312"/>
          <w:color w:val="auto"/>
          <w:kern w:val="0"/>
          <w:sz w:val="32"/>
          <w:szCs w:val="32"/>
          <w:u w:val="none"/>
          <w:lang w:val="en-US" w:eastAsia="zh-CN"/>
        </w:rPr>
        <w:t>2万元。</w:t>
      </w:r>
    </w:p>
    <w:p w14:paraId="4CD184E1">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ascii="Times New Roman" w:hAnsi="Times New Roman" w:eastAsia="Times New Roman" w:cs="Times New Roman"/>
          <w:color w:val="auto"/>
          <w:kern w:val="0"/>
          <w:sz w:val="24"/>
          <w:u w:val="none"/>
        </w:rPr>
      </w:pPr>
      <w:r>
        <w:rPr>
          <w:rFonts w:ascii="Calibri" w:hAnsi="Calibri" w:eastAsia="Calibri" w:cs="Calibri"/>
          <w:b/>
          <w:bCs/>
          <w:color w:val="auto"/>
          <w:kern w:val="0"/>
          <w:sz w:val="27"/>
          <w:szCs w:val="27"/>
          <w:u w:val="none"/>
        </w:rPr>
        <w:t>  </w:t>
      </w:r>
      <w:r>
        <w:rPr>
          <w:rFonts w:ascii="黑体" w:hAnsi="黑体" w:eastAsia="黑体" w:cs="黑体"/>
          <w:b/>
          <w:bCs/>
          <w:color w:val="auto"/>
          <w:kern w:val="0"/>
          <w:sz w:val="27"/>
          <w:szCs w:val="27"/>
          <w:u w:val="none"/>
        </w:rPr>
        <w:t>八、财政拨款“三公”经费支出决算情况说明</w:t>
      </w:r>
    </w:p>
    <w:p w14:paraId="30A1F1E9">
      <w:pPr>
        <w:keepNext w:val="0"/>
        <w:keepLines w:val="0"/>
        <w:pageBreakBefore w:val="0"/>
        <w:widowControl/>
        <w:kinsoku/>
        <w:wordWrap/>
        <w:overflowPunct/>
        <w:topLinePunct w:val="0"/>
        <w:autoSpaceDE/>
        <w:autoSpaceDN/>
        <w:bidi w:val="0"/>
        <w:adjustRightInd/>
        <w:snapToGrid/>
        <w:spacing w:before="240" w:after="240" w:line="560" w:lineRule="exact"/>
        <w:ind w:firstLine="542" w:firstLineChars="200"/>
        <w:jc w:val="left"/>
        <w:textAlignment w:val="auto"/>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b/>
          <w:bCs/>
          <w:color w:val="auto"/>
          <w:kern w:val="0"/>
          <w:sz w:val="27"/>
          <w:szCs w:val="27"/>
          <w:u w:val="none"/>
        </w:rPr>
        <w:t>（一）财政拨款“三公”经费支出总体情况说明。</w:t>
      </w:r>
    </w:p>
    <w:p w14:paraId="324E7320">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textAlignment w:val="auto"/>
        <w:rPr>
          <w:rFonts w:hint="eastAsia" w:ascii="仿宋_GB2312" w:hAnsi="仿宋_GB2312" w:eastAsia="仿宋_GB2312" w:cs="仿宋_GB2312"/>
          <w:color w:val="auto"/>
          <w:kern w:val="0"/>
          <w:sz w:val="32"/>
          <w:szCs w:val="32"/>
          <w:u w:val="none"/>
        </w:rPr>
      </w:pPr>
      <w:r>
        <w:rPr>
          <w:rFonts w:ascii="方正楷体_GB2312" w:hAnsi="方正楷体_GB2312" w:eastAsia="方正楷体_GB2312" w:cs="方正楷体_GB2312"/>
          <w:color w:val="auto"/>
          <w:kern w:val="0"/>
          <w:sz w:val="27"/>
          <w:szCs w:val="27"/>
          <w:u w:val="none"/>
        </w:rPr>
        <w:t> </w:t>
      </w:r>
      <w:r>
        <w:rPr>
          <w:rFonts w:hint="eastAsia" w:ascii="仿宋_GB2312" w:hAnsi="仿宋_GB2312" w:eastAsia="仿宋_GB2312" w:cs="仿宋_GB2312"/>
          <w:color w:val="auto"/>
          <w:kern w:val="0"/>
          <w:sz w:val="32"/>
          <w:szCs w:val="32"/>
          <w:u w:val="none"/>
        </w:rPr>
        <w:t>内蒙古自治区巴彦淖尔市乌拉特后旗社会保险事业服务中心2023年度财政拨款“三公”经费全年预算0.12万元，支出决算0.00万元，完成预算的0.00%。其中：因公出国（境）费全年预算0.00万元，支出决算0.00万元，完成预算的NaN%；公务用车购置及运行维护费全年预算0.00万元，支出决算0.00万元，完成预算的NaN%；公务接待费全年预算0.12万元，支出决算0.00万元，完成预算的0.00%。2023年度一般公共预算财政拨款“三公”经费支出决算与预算差异原因</w:t>
      </w:r>
      <w:r>
        <w:rPr>
          <w:rFonts w:hint="eastAsia" w:ascii="仿宋_GB2312" w:hAnsi="仿宋_GB2312" w:eastAsia="仿宋_GB2312" w:cs="仿宋_GB2312"/>
          <w:color w:val="auto"/>
          <w:kern w:val="0"/>
          <w:sz w:val="32"/>
          <w:szCs w:val="32"/>
          <w:u w:val="none"/>
          <w:lang w:val="en-US" w:eastAsia="zh-CN"/>
        </w:rPr>
        <w:t>不存在此项目</w:t>
      </w:r>
      <w:r>
        <w:rPr>
          <w:rFonts w:hint="eastAsia" w:ascii="仿宋_GB2312" w:hAnsi="仿宋_GB2312" w:eastAsia="仿宋_GB2312" w:cs="仿宋_GB2312"/>
          <w:color w:val="auto"/>
          <w:kern w:val="0"/>
          <w:sz w:val="32"/>
          <w:szCs w:val="32"/>
          <w:u w:val="none"/>
        </w:rPr>
        <w:t>。</w:t>
      </w:r>
    </w:p>
    <w:p w14:paraId="0B67D0EA">
      <w:pPr>
        <w:keepNext w:val="0"/>
        <w:keepLines w:val="0"/>
        <w:pageBreakBefore w:val="0"/>
        <w:widowControl/>
        <w:kinsoku/>
        <w:wordWrap/>
        <w:overflowPunct/>
        <w:topLinePunct w:val="0"/>
        <w:autoSpaceDE/>
        <w:autoSpaceDN/>
        <w:bidi w:val="0"/>
        <w:adjustRightInd/>
        <w:snapToGrid/>
        <w:spacing w:before="240" w:after="240" w:line="560" w:lineRule="exact"/>
        <w:ind w:firstLine="542" w:firstLineChars="200"/>
        <w:jc w:val="left"/>
        <w:textAlignment w:val="auto"/>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b/>
          <w:bCs/>
          <w:color w:val="auto"/>
          <w:kern w:val="0"/>
          <w:sz w:val="27"/>
          <w:szCs w:val="27"/>
          <w:u w:val="none"/>
        </w:rPr>
        <w:t>  （二）财政拨款“三公”经费支出具体情况说明。</w:t>
      </w:r>
    </w:p>
    <w:p w14:paraId="2FC71DD7">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textAlignment w:val="auto"/>
        <w:rPr>
          <w:rFonts w:hint="eastAsia" w:ascii="仿宋_GB2312" w:hAnsi="仿宋_GB2312" w:eastAsia="仿宋_GB2312" w:cs="仿宋_GB2312"/>
          <w:color w:val="auto"/>
          <w:kern w:val="0"/>
          <w:sz w:val="32"/>
          <w:szCs w:val="32"/>
          <w:u w:val="none"/>
        </w:rPr>
      </w:pPr>
      <w:r>
        <w:rPr>
          <w:rFonts w:ascii="方正楷体_GB2312" w:hAnsi="方正楷体_GB2312" w:eastAsia="方正楷体_GB2312" w:cs="方正楷体_GB2312"/>
          <w:color w:val="auto"/>
          <w:kern w:val="0"/>
          <w:sz w:val="27"/>
          <w:szCs w:val="27"/>
          <w:u w:val="none"/>
        </w:rPr>
        <w:t> </w:t>
      </w:r>
      <w:r>
        <w:rPr>
          <w:rFonts w:hint="eastAsia" w:ascii="仿宋_GB2312" w:hAnsi="仿宋_GB2312" w:eastAsia="仿宋_GB2312" w:cs="仿宋_GB2312"/>
          <w:color w:val="auto"/>
          <w:kern w:val="0"/>
          <w:sz w:val="32"/>
          <w:szCs w:val="32"/>
          <w:u w:val="none"/>
        </w:rPr>
        <w:t> 内蒙古自治区巴彦淖尔市乌拉特后旗社会保险事业服务中心2023年度财政拨款“三公”经费支出0.00万元。因公出国（境）费支出0.00万元，占NaN%；公务用车购置及运行维护费支出0.00万元，占NaN%；公务接待费支出0.00万元，占NaN%。其中：</w:t>
      </w:r>
    </w:p>
    <w:p w14:paraId="1D694988">
      <w:pPr>
        <w:keepNext w:val="0"/>
        <w:keepLines w:val="0"/>
        <w:pageBreakBefore w:val="0"/>
        <w:widowControl/>
        <w:kinsoku/>
        <w:wordWrap/>
        <w:overflowPunct/>
        <w:topLinePunct w:val="0"/>
        <w:autoSpaceDE/>
        <w:autoSpaceDN/>
        <w:bidi w:val="0"/>
        <w:adjustRightInd/>
        <w:snapToGrid/>
        <w:spacing w:before="240" w:after="240" w:line="560" w:lineRule="exact"/>
        <w:ind w:firstLine="640" w:firstLineChars="200"/>
        <w:textAlignment w:val="auto"/>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 1.因公出国（境）费支出0.00万元，全年出国（境）团组0个，累计0人次。与上年决算相比，增加（减少）0.00万元，增长（减少）NaN%，变动原因：</w:t>
      </w:r>
      <w:r>
        <w:rPr>
          <w:rFonts w:hint="eastAsia" w:ascii="仿宋_GB2312" w:hAnsi="仿宋_GB2312" w:eastAsia="仿宋_GB2312" w:cs="仿宋_GB2312"/>
          <w:color w:val="auto"/>
          <w:spacing w:val="14"/>
          <w:sz w:val="32"/>
          <w:szCs w:val="32"/>
          <w:u w:val="none"/>
        </w:rPr>
        <w:t>不存在此项目</w:t>
      </w:r>
      <w:r>
        <w:rPr>
          <w:rFonts w:hint="eastAsia" w:ascii="仿宋_GB2312" w:hAnsi="仿宋_GB2312" w:eastAsia="仿宋_GB2312" w:cs="仿宋_GB2312"/>
          <w:color w:val="auto"/>
          <w:kern w:val="0"/>
          <w:sz w:val="32"/>
          <w:szCs w:val="32"/>
          <w:u w:val="none"/>
        </w:rPr>
        <w:t>。</w:t>
      </w:r>
    </w:p>
    <w:p w14:paraId="0BE5D329">
      <w:pPr>
        <w:keepNext w:val="0"/>
        <w:keepLines w:val="0"/>
        <w:pageBreakBefore w:val="0"/>
        <w:widowControl/>
        <w:kinsoku/>
        <w:wordWrap/>
        <w:overflowPunct/>
        <w:topLinePunct w:val="0"/>
        <w:autoSpaceDE/>
        <w:autoSpaceDN/>
        <w:bidi w:val="0"/>
        <w:adjustRightInd/>
        <w:snapToGrid/>
        <w:spacing w:before="240" w:after="240" w:line="560" w:lineRule="exact"/>
        <w:ind w:firstLine="640" w:firstLineChars="200"/>
        <w:textAlignment w:val="auto"/>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 2.公务用车购置及运行维护费支出0.00万元。其中：</w:t>
      </w:r>
    </w:p>
    <w:p w14:paraId="29E4F4BC">
      <w:pPr>
        <w:keepNext w:val="0"/>
        <w:keepLines w:val="0"/>
        <w:pageBreakBefore w:val="0"/>
        <w:widowControl/>
        <w:kinsoku/>
        <w:wordWrap/>
        <w:overflowPunct/>
        <w:topLinePunct w:val="0"/>
        <w:autoSpaceDE/>
        <w:autoSpaceDN/>
        <w:bidi w:val="0"/>
        <w:adjustRightInd/>
        <w:snapToGrid/>
        <w:spacing w:before="240" w:after="240" w:line="560" w:lineRule="exact"/>
        <w:ind w:firstLine="640" w:firstLineChars="200"/>
        <w:textAlignment w:val="auto"/>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（1）公务用车购置支出0.00万元。本年度使用财政拨款购置公务用车0辆，开支内容：</w:t>
      </w:r>
      <w:r>
        <w:rPr>
          <w:rFonts w:hint="eastAsia" w:ascii="仿宋_GB2312" w:hAnsi="仿宋_GB2312" w:eastAsia="仿宋_GB2312" w:cs="仿宋_GB2312"/>
          <w:color w:val="auto"/>
          <w:spacing w:val="14"/>
          <w:sz w:val="32"/>
          <w:szCs w:val="32"/>
          <w:u w:val="none"/>
        </w:rPr>
        <w:t>不存在此项目</w:t>
      </w:r>
      <w:r>
        <w:rPr>
          <w:rFonts w:hint="eastAsia" w:ascii="仿宋_GB2312" w:hAnsi="仿宋_GB2312" w:eastAsia="仿宋_GB2312" w:cs="仿宋_GB2312"/>
          <w:color w:val="auto"/>
          <w:kern w:val="0"/>
          <w:sz w:val="32"/>
          <w:szCs w:val="32"/>
          <w:u w:val="none"/>
        </w:rPr>
        <w:t>。与上年决算相比，增加（减少）0.00万元，增长（减少）NaN%，变动原因：</w:t>
      </w:r>
      <w:r>
        <w:rPr>
          <w:rFonts w:hint="eastAsia" w:ascii="仿宋_GB2312" w:hAnsi="仿宋_GB2312" w:eastAsia="仿宋_GB2312" w:cs="仿宋_GB2312"/>
          <w:color w:val="auto"/>
          <w:spacing w:val="14"/>
          <w:sz w:val="32"/>
          <w:szCs w:val="32"/>
          <w:u w:val="none"/>
        </w:rPr>
        <w:t>不存在此项目</w:t>
      </w:r>
      <w:r>
        <w:rPr>
          <w:rFonts w:hint="eastAsia" w:ascii="仿宋_GB2312" w:hAnsi="仿宋_GB2312" w:eastAsia="仿宋_GB2312" w:cs="仿宋_GB2312"/>
          <w:color w:val="auto"/>
          <w:kern w:val="0"/>
          <w:sz w:val="32"/>
          <w:szCs w:val="32"/>
          <w:u w:val="none"/>
        </w:rPr>
        <w:t>。</w:t>
      </w:r>
    </w:p>
    <w:p w14:paraId="30C0045C">
      <w:pPr>
        <w:keepNext w:val="0"/>
        <w:keepLines w:val="0"/>
        <w:pageBreakBefore w:val="0"/>
        <w:widowControl/>
        <w:kinsoku/>
        <w:wordWrap/>
        <w:overflowPunct/>
        <w:topLinePunct w:val="0"/>
        <w:autoSpaceDE/>
        <w:autoSpaceDN/>
        <w:bidi w:val="0"/>
        <w:adjustRightInd/>
        <w:snapToGrid/>
        <w:spacing w:before="240" w:after="240" w:line="560" w:lineRule="exact"/>
        <w:ind w:firstLine="640" w:firstLineChars="200"/>
        <w:textAlignment w:val="auto"/>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  （2）公务用车运行维护费支出0.00万元。公务用车运行维护费主要用于按规定保留的公务用车的燃料费、维修费、过桥过路费、保险费、安全奖励费用等支出。截至2023年12月31日，使用财政拨款开支的公务用车保有量为0辆。与上年决算相比，增加（减少）0.00万元，增长（减少）NaN%，变动原因：</w:t>
      </w:r>
      <w:r>
        <w:rPr>
          <w:rFonts w:hint="eastAsia" w:ascii="仿宋_GB2312" w:hAnsi="仿宋_GB2312" w:eastAsia="仿宋_GB2312" w:cs="仿宋_GB2312"/>
          <w:color w:val="auto"/>
          <w:spacing w:val="14"/>
          <w:sz w:val="32"/>
          <w:szCs w:val="32"/>
          <w:u w:val="none"/>
        </w:rPr>
        <w:t>不存在此项目</w:t>
      </w:r>
      <w:r>
        <w:rPr>
          <w:rFonts w:hint="eastAsia" w:ascii="仿宋_GB2312" w:hAnsi="仿宋_GB2312" w:eastAsia="仿宋_GB2312" w:cs="仿宋_GB2312"/>
          <w:color w:val="auto"/>
          <w:kern w:val="0"/>
          <w:sz w:val="32"/>
          <w:szCs w:val="32"/>
          <w:u w:val="none"/>
        </w:rPr>
        <w:t>。</w:t>
      </w:r>
    </w:p>
    <w:p w14:paraId="74058853">
      <w:pPr>
        <w:keepNext w:val="0"/>
        <w:keepLines w:val="0"/>
        <w:pageBreakBefore w:val="0"/>
        <w:widowControl/>
        <w:kinsoku/>
        <w:wordWrap/>
        <w:overflowPunct/>
        <w:topLinePunct w:val="0"/>
        <w:autoSpaceDE/>
        <w:autoSpaceDN/>
        <w:bidi w:val="0"/>
        <w:adjustRightInd/>
        <w:snapToGrid/>
        <w:spacing w:before="240" w:after="240" w:line="560" w:lineRule="exact"/>
        <w:ind w:firstLine="640" w:firstLineChars="200"/>
        <w:textAlignment w:val="auto"/>
        <w:rPr>
          <w:rFonts w:ascii="Times New Roman" w:hAnsi="Times New Roman" w:eastAsia="Times New Roman" w:cs="Times New Roman"/>
          <w:color w:val="auto"/>
          <w:kern w:val="0"/>
          <w:sz w:val="24"/>
          <w:u w:val="none"/>
        </w:rPr>
      </w:pPr>
      <w:r>
        <w:rPr>
          <w:rFonts w:hint="eastAsia" w:ascii="仿宋_GB2312" w:hAnsi="仿宋_GB2312" w:eastAsia="仿宋_GB2312" w:cs="仿宋_GB2312"/>
          <w:color w:val="auto"/>
          <w:kern w:val="0"/>
          <w:sz w:val="32"/>
          <w:szCs w:val="32"/>
          <w:u w:val="none"/>
        </w:rPr>
        <w:t>  3.公务接待费支出0.00万元。其中：国内公务接待支出0.00万元，接待0批次，0人次，开支内容：</w:t>
      </w:r>
      <w:r>
        <w:rPr>
          <w:rFonts w:hint="eastAsia" w:ascii="仿宋_GB2312" w:hAnsi="仿宋_GB2312" w:eastAsia="仿宋_GB2312" w:cs="仿宋_GB2312"/>
          <w:color w:val="auto"/>
          <w:spacing w:val="14"/>
          <w:sz w:val="32"/>
          <w:szCs w:val="32"/>
          <w:u w:val="none"/>
        </w:rPr>
        <w:t>不存在此项目</w:t>
      </w:r>
      <w:r>
        <w:rPr>
          <w:rFonts w:hint="eastAsia" w:ascii="仿宋_GB2312" w:hAnsi="仿宋_GB2312" w:eastAsia="仿宋_GB2312" w:cs="仿宋_GB2312"/>
          <w:color w:val="auto"/>
          <w:kern w:val="0"/>
          <w:sz w:val="32"/>
          <w:szCs w:val="32"/>
          <w:u w:val="none"/>
        </w:rPr>
        <w:t>；国（境）外公务接待支出0.00万元，接待0批次，0人次，开支内容：</w:t>
      </w:r>
      <w:r>
        <w:rPr>
          <w:rFonts w:hint="eastAsia" w:ascii="仿宋_GB2312" w:hAnsi="仿宋_GB2312" w:eastAsia="仿宋_GB2312" w:cs="仿宋_GB2312"/>
          <w:color w:val="auto"/>
          <w:spacing w:val="14"/>
          <w:sz w:val="32"/>
          <w:szCs w:val="32"/>
          <w:u w:val="none"/>
        </w:rPr>
        <w:t>不存在此项目</w:t>
      </w:r>
      <w:r>
        <w:rPr>
          <w:rFonts w:hint="eastAsia" w:ascii="仿宋_GB2312" w:hAnsi="仿宋_GB2312" w:eastAsia="仿宋_GB2312" w:cs="仿宋_GB2312"/>
          <w:color w:val="auto"/>
          <w:kern w:val="0"/>
          <w:sz w:val="32"/>
          <w:szCs w:val="32"/>
          <w:u w:val="none"/>
        </w:rPr>
        <w:t>。与上年决算相比，增加（减少）0.00万元，增长（减少）NaN%，变动原因：</w:t>
      </w:r>
      <w:r>
        <w:rPr>
          <w:rFonts w:hint="eastAsia" w:ascii="仿宋_GB2312" w:hAnsi="仿宋_GB2312" w:eastAsia="仿宋_GB2312" w:cs="仿宋_GB2312"/>
          <w:color w:val="auto"/>
          <w:spacing w:val="14"/>
          <w:sz w:val="32"/>
          <w:szCs w:val="32"/>
          <w:u w:val="none"/>
        </w:rPr>
        <w:t>不存在此项目</w:t>
      </w:r>
      <w:r>
        <w:rPr>
          <w:rFonts w:hint="eastAsia" w:ascii="仿宋_GB2312" w:hAnsi="仿宋_GB2312" w:eastAsia="仿宋_GB2312" w:cs="仿宋_GB2312"/>
          <w:color w:val="auto"/>
          <w:kern w:val="0"/>
          <w:sz w:val="32"/>
          <w:szCs w:val="32"/>
          <w:u w:val="none"/>
        </w:rPr>
        <w:t>。</w:t>
      </w:r>
    </w:p>
    <w:p w14:paraId="1857504E">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textAlignment w:val="auto"/>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color w:val="auto"/>
          <w:kern w:val="0"/>
          <w:sz w:val="27"/>
          <w:szCs w:val="27"/>
          <w:u w:val="none"/>
        </w:rPr>
        <w:t> </w:t>
      </w:r>
      <w:r>
        <w:rPr>
          <w:rFonts w:ascii="Calibri" w:hAnsi="Calibri" w:eastAsia="Calibri" w:cs="Calibri"/>
          <w:b/>
          <w:bCs/>
          <w:color w:val="auto"/>
          <w:kern w:val="0"/>
          <w:sz w:val="27"/>
          <w:szCs w:val="27"/>
          <w:u w:val="none"/>
        </w:rPr>
        <w:t>  </w:t>
      </w:r>
      <w:r>
        <w:rPr>
          <w:rFonts w:ascii="黑体" w:hAnsi="黑体" w:eastAsia="黑体" w:cs="黑体"/>
          <w:b/>
          <w:bCs/>
          <w:color w:val="auto"/>
          <w:kern w:val="0"/>
          <w:sz w:val="27"/>
          <w:szCs w:val="27"/>
          <w:u w:val="none"/>
        </w:rPr>
        <w:t>九、政府性基金预算财政拨款支出决算情况说明</w:t>
      </w:r>
    </w:p>
    <w:p w14:paraId="2AC5A48F">
      <w:pPr>
        <w:keepNext w:val="0"/>
        <w:keepLines w:val="0"/>
        <w:pageBreakBefore w:val="0"/>
        <w:widowControl/>
        <w:kinsoku/>
        <w:wordWrap/>
        <w:overflowPunct/>
        <w:topLinePunct w:val="0"/>
        <w:autoSpaceDE/>
        <w:autoSpaceDN/>
        <w:bidi w:val="0"/>
        <w:adjustRightInd/>
        <w:snapToGrid/>
        <w:spacing w:before="240" w:after="240" w:line="560" w:lineRule="exact"/>
        <w:ind w:firstLine="640" w:firstLineChars="200"/>
        <w:textAlignment w:val="auto"/>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内蒙古自治区巴彦淖尔市乌拉特后旗社会保险事业服务中心2023年度政府性基金预算财政拨款支出决算0.00万元。与上年决算相比，增加（减少）0.00万元，增长（减少）NaN%，变动原因：本单位无政府性基金预算财政拨款收、支、余。</w:t>
      </w:r>
    </w:p>
    <w:p w14:paraId="2056A173">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ascii="Times New Roman" w:hAnsi="Times New Roman" w:eastAsia="Times New Roman" w:cs="Times New Roman"/>
          <w:color w:val="auto"/>
          <w:kern w:val="0"/>
          <w:sz w:val="24"/>
          <w:u w:val="none"/>
        </w:rPr>
      </w:pPr>
      <w:r>
        <w:rPr>
          <w:rFonts w:ascii="Calibri" w:hAnsi="Calibri" w:eastAsia="Calibri" w:cs="Calibri"/>
          <w:b/>
          <w:bCs/>
          <w:color w:val="auto"/>
          <w:kern w:val="0"/>
          <w:sz w:val="27"/>
          <w:szCs w:val="27"/>
          <w:u w:val="none"/>
        </w:rPr>
        <w:t>  </w:t>
      </w:r>
      <w:r>
        <w:rPr>
          <w:rFonts w:ascii="黑体" w:hAnsi="黑体" w:eastAsia="黑体" w:cs="黑体"/>
          <w:b/>
          <w:bCs/>
          <w:color w:val="auto"/>
          <w:kern w:val="0"/>
          <w:sz w:val="27"/>
          <w:szCs w:val="27"/>
          <w:u w:val="none"/>
        </w:rPr>
        <w:t>十、国有资本经营预算财政拨款支出决算情况说明</w:t>
      </w:r>
    </w:p>
    <w:p w14:paraId="541DED5F">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textAlignment w:val="auto"/>
        <w:rPr>
          <w:rFonts w:hint="eastAsia" w:ascii="仿宋_GB2312" w:hAnsi="仿宋_GB2312" w:eastAsia="仿宋_GB2312" w:cs="仿宋_GB2312"/>
          <w:color w:val="auto"/>
          <w:kern w:val="0"/>
          <w:sz w:val="32"/>
          <w:szCs w:val="32"/>
          <w:u w:val="none"/>
        </w:rPr>
      </w:pPr>
      <w:r>
        <w:rPr>
          <w:rFonts w:ascii="方正楷体_GB2312" w:hAnsi="方正楷体_GB2312" w:eastAsia="方正楷体_GB2312" w:cs="方正楷体_GB2312"/>
          <w:color w:val="auto"/>
          <w:kern w:val="0"/>
          <w:sz w:val="27"/>
          <w:szCs w:val="27"/>
          <w:u w:val="none"/>
        </w:rPr>
        <w:t> </w:t>
      </w:r>
      <w:r>
        <w:rPr>
          <w:rFonts w:hint="eastAsia" w:ascii="仿宋_GB2312" w:hAnsi="仿宋_GB2312" w:eastAsia="仿宋_GB2312" w:cs="仿宋_GB2312"/>
          <w:color w:val="auto"/>
          <w:kern w:val="0"/>
          <w:sz w:val="32"/>
          <w:szCs w:val="32"/>
          <w:u w:val="none"/>
        </w:rPr>
        <w:t>内蒙古自治区巴彦淖尔市乌拉特后旗社会保险事业服务中心2023年度国有资本经营预算财政拨款支出决算0.00万元。与上年决算相比，增加（减少）0.00万元，增长（减少）NaN%，变动原因：本单位无国有资本经营预算财政拨款收、支、余。</w:t>
      </w:r>
    </w:p>
    <w:p w14:paraId="6E5628D6">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textAlignment w:val="auto"/>
        <w:rPr>
          <w:rFonts w:ascii="Times New Roman" w:hAnsi="Times New Roman" w:eastAsia="Times New Roman" w:cs="Times New Roman"/>
          <w:color w:val="auto"/>
          <w:kern w:val="0"/>
          <w:sz w:val="24"/>
          <w:u w:val="none"/>
        </w:rPr>
      </w:pPr>
      <w:r>
        <w:rPr>
          <w:rFonts w:ascii="Calibri" w:hAnsi="Calibri" w:eastAsia="Calibri" w:cs="Calibri"/>
          <w:b/>
          <w:bCs/>
          <w:color w:val="auto"/>
          <w:kern w:val="0"/>
          <w:sz w:val="27"/>
          <w:szCs w:val="27"/>
          <w:u w:val="none"/>
        </w:rPr>
        <w:t>  </w:t>
      </w:r>
      <w:r>
        <w:rPr>
          <w:rFonts w:ascii="黑体" w:hAnsi="黑体" w:eastAsia="黑体" w:cs="黑体"/>
          <w:b/>
          <w:bCs/>
          <w:color w:val="auto"/>
          <w:kern w:val="0"/>
          <w:sz w:val="27"/>
          <w:szCs w:val="27"/>
          <w:u w:val="none"/>
        </w:rPr>
        <w:t>十一、机构运行经费支出决算情况说明</w:t>
      </w:r>
    </w:p>
    <w:p w14:paraId="40EDC469">
      <w:pPr>
        <w:keepNext w:val="0"/>
        <w:keepLines w:val="0"/>
        <w:pageBreakBefore w:val="0"/>
        <w:widowControl/>
        <w:kinsoku/>
        <w:wordWrap/>
        <w:overflowPunct/>
        <w:topLinePunct w:val="0"/>
        <w:autoSpaceDE/>
        <w:autoSpaceDN/>
        <w:bidi w:val="0"/>
        <w:adjustRightInd/>
        <w:snapToGrid/>
        <w:spacing w:before="240" w:after="240" w:line="560" w:lineRule="exact"/>
        <w:ind w:firstLine="640" w:firstLineChars="200"/>
        <w:textAlignment w:val="auto"/>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内蒙古自治区巴彦淖尔市乌拉特后旗社会保险事业服务中心2023年度机构运行经费支出决算23.81万元。比上年决算相比，增加1.75万元，增长7.91%，变动原因：</w:t>
      </w:r>
      <w:r>
        <w:rPr>
          <w:rFonts w:hint="eastAsia" w:ascii="仿宋_GB2312" w:hAnsi="仿宋_GB2312" w:eastAsia="仿宋_GB2312" w:cs="仿宋_GB2312"/>
          <w:color w:val="auto"/>
          <w:kern w:val="0"/>
          <w:sz w:val="32"/>
          <w:szCs w:val="32"/>
          <w:u w:val="none"/>
          <w:lang w:val="en-US" w:eastAsia="zh-CN"/>
        </w:rPr>
        <w:t>办公费有所增加</w:t>
      </w:r>
      <w:r>
        <w:rPr>
          <w:rFonts w:hint="eastAsia" w:ascii="仿宋_GB2312" w:hAnsi="仿宋_GB2312" w:eastAsia="仿宋_GB2312" w:cs="仿宋_GB2312"/>
          <w:color w:val="auto"/>
          <w:kern w:val="0"/>
          <w:sz w:val="32"/>
          <w:szCs w:val="32"/>
          <w:u w:val="none"/>
        </w:rPr>
        <w:t>。</w:t>
      </w:r>
    </w:p>
    <w:p w14:paraId="61ED3A93">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textAlignment w:val="auto"/>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color w:val="auto"/>
          <w:kern w:val="0"/>
          <w:sz w:val="27"/>
          <w:szCs w:val="27"/>
          <w:u w:val="none"/>
        </w:rPr>
        <w:t>  </w:t>
      </w:r>
      <w:r>
        <w:rPr>
          <w:rFonts w:ascii="黑体" w:hAnsi="黑体" w:eastAsia="黑体" w:cs="黑体"/>
          <w:b/>
          <w:bCs/>
          <w:color w:val="auto"/>
          <w:kern w:val="0"/>
          <w:sz w:val="27"/>
          <w:szCs w:val="27"/>
          <w:u w:val="none"/>
        </w:rPr>
        <w:t>十二、政府采购支出决算情况说明</w:t>
      </w:r>
    </w:p>
    <w:p w14:paraId="2B725193">
      <w:pPr>
        <w:keepNext w:val="0"/>
        <w:keepLines w:val="0"/>
        <w:pageBreakBefore w:val="0"/>
        <w:widowControl/>
        <w:kinsoku/>
        <w:wordWrap/>
        <w:overflowPunct/>
        <w:topLinePunct w:val="0"/>
        <w:autoSpaceDE/>
        <w:autoSpaceDN/>
        <w:bidi w:val="0"/>
        <w:adjustRightInd/>
        <w:snapToGrid/>
        <w:spacing w:before="240" w:after="240" w:line="560" w:lineRule="exact"/>
        <w:ind w:firstLine="640" w:firstLineChars="200"/>
        <w:textAlignment w:val="auto"/>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内蒙古自治区巴彦淖尔市乌拉特后旗社会保险事业服务中心2023年度政府采购支出总额7.71万元，其中：政府采购货物支出6.21万元、政府采购工程支出0.00万元、政府采购服务支出1.50万元。政府采购授予中小企业合同金额1.50万元，占政府采购支出总额的</w:t>
      </w:r>
      <w:r>
        <w:rPr>
          <w:rFonts w:hint="eastAsia" w:ascii="仿宋_GB2312" w:hAnsi="仿宋_GB2312" w:eastAsia="仿宋_GB2312" w:cs="仿宋_GB2312"/>
          <w:color w:val="auto"/>
          <w:kern w:val="0"/>
          <w:sz w:val="32"/>
          <w:szCs w:val="32"/>
          <w:u w:val="none"/>
          <w:lang w:val="en-US" w:eastAsia="zh-CN"/>
        </w:rPr>
        <w:t>19.46</w:t>
      </w:r>
      <w:r>
        <w:rPr>
          <w:rFonts w:hint="eastAsia" w:ascii="仿宋_GB2312" w:hAnsi="仿宋_GB2312" w:eastAsia="仿宋_GB2312" w:cs="仿宋_GB2312"/>
          <w:color w:val="auto"/>
          <w:kern w:val="0"/>
          <w:sz w:val="32"/>
          <w:szCs w:val="32"/>
          <w:u w:val="none"/>
        </w:rPr>
        <w:t>%，其中：授予小微企业合同金额 1.50万元，占政府采购支出总额的</w:t>
      </w:r>
      <w:r>
        <w:rPr>
          <w:rFonts w:hint="eastAsia" w:ascii="仿宋_GB2312" w:hAnsi="仿宋_GB2312" w:eastAsia="仿宋_GB2312" w:cs="仿宋_GB2312"/>
          <w:color w:val="auto"/>
          <w:kern w:val="0"/>
          <w:sz w:val="32"/>
          <w:szCs w:val="32"/>
          <w:u w:val="none"/>
          <w:lang w:val="en-US" w:eastAsia="zh-CN"/>
        </w:rPr>
        <w:t>19.46</w:t>
      </w:r>
      <w:r>
        <w:rPr>
          <w:rFonts w:hint="eastAsia" w:ascii="仿宋_GB2312" w:hAnsi="仿宋_GB2312" w:eastAsia="仿宋_GB2312" w:cs="仿宋_GB2312"/>
          <w:color w:val="auto"/>
          <w:kern w:val="0"/>
          <w:sz w:val="32"/>
          <w:szCs w:val="32"/>
          <w:u w:val="none"/>
        </w:rPr>
        <w:t>%；货物采购授予中小企业合同金额占货物支出金额的</w:t>
      </w:r>
      <w:r>
        <w:rPr>
          <w:rFonts w:hint="eastAsia" w:ascii="仿宋_GB2312" w:hAnsi="仿宋_GB2312" w:eastAsia="仿宋_GB2312" w:cs="仿宋_GB2312"/>
          <w:color w:val="auto"/>
          <w:kern w:val="0"/>
          <w:sz w:val="32"/>
          <w:szCs w:val="32"/>
          <w:u w:val="none"/>
          <w:lang w:val="en-US" w:eastAsia="zh-CN"/>
        </w:rPr>
        <w:t>80.54</w:t>
      </w:r>
      <w:r>
        <w:rPr>
          <w:rFonts w:hint="eastAsia" w:ascii="仿宋_GB2312" w:hAnsi="仿宋_GB2312" w:eastAsia="仿宋_GB2312" w:cs="仿宋_GB2312"/>
          <w:color w:val="auto"/>
          <w:kern w:val="0"/>
          <w:sz w:val="32"/>
          <w:szCs w:val="32"/>
          <w:u w:val="none"/>
        </w:rPr>
        <w:t>%，工程采购授予中小企业合同金额占工程支出金额的</w:t>
      </w:r>
      <w:r>
        <w:rPr>
          <w:rFonts w:hint="eastAsia" w:ascii="仿宋_GB2312" w:hAnsi="仿宋_GB2312" w:eastAsia="仿宋_GB2312" w:cs="仿宋_GB2312"/>
          <w:color w:val="auto"/>
          <w:kern w:val="0"/>
          <w:sz w:val="32"/>
          <w:szCs w:val="32"/>
          <w:u w:val="none"/>
          <w:lang w:val="en-US" w:eastAsia="zh-CN"/>
        </w:rPr>
        <w:t>0</w:t>
      </w:r>
      <w:r>
        <w:rPr>
          <w:rFonts w:hint="eastAsia" w:ascii="仿宋_GB2312" w:hAnsi="仿宋_GB2312" w:eastAsia="仿宋_GB2312" w:cs="仿宋_GB2312"/>
          <w:color w:val="auto"/>
          <w:kern w:val="0"/>
          <w:sz w:val="32"/>
          <w:szCs w:val="32"/>
          <w:u w:val="none"/>
        </w:rPr>
        <w:t>%，服务采购授予中小企业合同金额占服务支出金额的</w:t>
      </w:r>
      <w:r>
        <w:rPr>
          <w:rFonts w:hint="eastAsia" w:ascii="仿宋_GB2312" w:hAnsi="仿宋_GB2312" w:eastAsia="仿宋_GB2312" w:cs="仿宋_GB2312"/>
          <w:color w:val="auto"/>
          <w:kern w:val="0"/>
          <w:sz w:val="32"/>
          <w:szCs w:val="32"/>
          <w:u w:val="none"/>
          <w:lang w:val="en-US" w:eastAsia="zh-CN"/>
        </w:rPr>
        <w:t>0</w:t>
      </w:r>
      <w:r>
        <w:rPr>
          <w:rFonts w:hint="eastAsia" w:ascii="仿宋_GB2312" w:hAnsi="仿宋_GB2312" w:eastAsia="仿宋_GB2312" w:cs="仿宋_GB2312"/>
          <w:color w:val="auto"/>
          <w:kern w:val="0"/>
          <w:sz w:val="32"/>
          <w:szCs w:val="32"/>
          <w:u w:val="none"/>
        </w:rPr>
        <w:t>%。</w:t>
      </w:r>
    </w:p>
    <w:p w14:paraId="537FA27A">
      <w:pPr>
        <w:keepNext w:val="0"/>
        <w:keepLines w:val="0"/>
        <w:pageBreakBefore w:val="0"/>
        <w:widowControl/>
        <w:kinsoku/>
        <w:wordWrap/>
        <w:overflowPunct/>
        <w:topLinePunct w:val="0"/>
        <w:autoSpaceDE/>
        <w:autoSpaceDN/>
        <w:bidi w:val="0"/>
        <w:adjustRightInd/>
        <w:snapToGrid/>
        <w:spacing w:before="240" w:after="240" w:line="560" w:lineRule="exact"/>
        <w:ind w:firstLine="542" w:firstLineChars="200"/>
        <w:textAlignment w:val="auto"/>
        <w:rPr>
          <w:rFonts w:ascii="Times New Roman" w:hAnsi="Times New Roman" w:eastAsia="Times New Roman" w:cs="Times New Roman"/>
          <w:color w:val="auto"/>
          <w:kern w:val="0"/>
          <w:sz w:val="24"/>
          <w:u w:val="none"/>
        </w:rPr>
      </w:pPr>
      <w:r>
        <w:rPr>
          <w:rFonts w:ascii="黑体" w:hAnsi="黑体" w:eastAsia="黑体" w:cs="黑体"/>
          <w:b/>
          <w:bCs/>
          <w:color w:val="auto"/>
          <w:kern w:val="0"/>
          <w:sz w:val="27"/>
          <w:szCs w:val="27"/>
          <w:u w:val="none"/>
        </w:rPr>
        <w:t>十三、国有资产占用情况说明</w:t>
      </w:r>
    </w:p>
    <w:p w14:paraId="088FD340">
      <w:pPr>
        <w:keepNext w:val="0"/>
        <w:keepLines w:val="0"/>
        <w:pageBreakBefore w:val="0"/>
        <w:widowControl/>
        <w:kinsoku/>
        <w:wordWrap/>
        <w:overflowPunct/>
        <w:topLinePunct w:val="0"/>
        <w:autoSpaceDE/>
        <w:autoSpaceDN/>
        <w:bidi w:val="0"/>
        <w:adjustRightInd/>
        <w:snapToGrid/>
        <w:spacing w:before="240" w:after="240" w:line="560" w:lineRule="exact"/>
        <w:ind w:firstLine="640" w:firstLineChars="200"/>
        <w:textAlignment w:val="auto"/>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内蒙古自治区巴彦淖尔市乌拉特后旗社会保险事业服务中心截至2023年12月31日，本</w:t>
      </w:r>
      <w:r>
        <w:rPr>
          <w:rFonts w:hint="eastAsia" w:ascii="仿宋_GB2312" w:hAnsi="仿宋_GB2312" w:eastAsia="仿宋_GB2312" w:cs="仿宋_GB2312"/>
          <w:color w:val="auto"/>
          <w:kern w:val="0"/>
          <w:sz w:val="32"/>
          <w:szCs w:val="32"/>
          <w:u w:val="none"/>
          <w:lang w:eastAsia="zh-CN"/>
        </w:rPr>
        <w:t>单位</w:t>
      </w:r>
      <w:r>
        <w:rPr>
          <w:rFonts w:hint="eastAsia" w:ascii="仿宋_GB2312" w:hAnsi="仿宋_GB2312" w:eastAsia="仿宋_GB2312" w:cs="仿宋_GB2312"/>
          <w:color w:val="auto"/>
          <w:kern w:val="0"/>
          <w:sz w:val="32"/>
          <w:szCs w:val="32"/>
          <w:u w:val="none"/>
        </w:rPr>
        <w:t>共有车辆1辆，其中：副部（省）级及以上领导用车0辆、主要负责人用车0辆、机要通信用车0辆、应急保障用车0辆、执法执勤用车0辆、特种专业技术用车0辆、离退休干部服务用车0辆，其他用车1辆；单价100万元（含）以上的设备（不含车辆）0台（套）。</w:t>
      </w:r>
    </w:p>
    <w:p w14:paraId="4E7867A7">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textAlignment w:val="auto"/>
        <w:rPr>
          <w:rFonts w:ascii="Times New Roman" w:hAnsi="Times New Roman" w:eastAsia="Times New Roman" w:cs="Times New Roman"/>
          <w:color w:val="auto"/>
          <w:kern w:val="0"/>
          <w:sz w:val="24"/>
          <w:u w:val="none"/>
        </w:rPr>
      </w:pPr>
      <w:r>
        <w:rPr>
          <w:rFonts w:ascii="Calibri" w:hAnsi="Calibri" w:eastAsia="Calibri" w:cs="Calibri"/>
          <w:b/>
          <w:bCs/>
          <w:color w:val="auto"/>
          <w:kern w:val="0"/>
          <w:sz w:val="27"/>
          <w:szCs w:val="27"/>
          <w:u w:val="none"/>
        </w:rPr>
        <w:t> </w:t>
      </w:r>
      <w:r>
        <w:rPr>
          <w:rFonts w:ascii="黑体" w:hAnsi="黑体" w:eastAsia="黑体" w:cs="黑体"/>
          <w:b/>
          <w:bCs/>
          <w:color w:val="auto"/>
          <w:kern w:val="0"/>
          <w:sz w:val="27"/>
          <w:szCs w:val="27"/>
          <w:u w:val="none"/>
        </w:rPr>
        <w:t>十四、预算绩效情况说明</w:t>
      </w:r>
    </w:p>
    <w:p w14:paraId="6AAAC2E4">
      <w:pPr>
        <w:keepNext w:val="0"/>
        <w:keepLines w:val="0"/>
        <w:pageBreakBefore w:val="0"/>
        <w:widowControl/>
        <w:kinsoku/>
        <w:wordWrap/>
        <w:overflowPunct/>
        <w:topLinePunct w:val="0"/>
        <w:autoSpaceDE/>
        <w:autoSpaceDN/>
        <w:bidi w:val="0"/>
        <w:adjustRightInd/>
        <w:snapToGrid/>
        <w:spacing w:before="240" w:after="240" w:line="560" w:lineRule="exact"/>
        <w:ind w:firstLine="542" w:firstLineChars="200"/>
        <w:jc w:val="left"/>
        <w:textAlignment w:val="auto"/>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b/>
          <w:bCs/>
          <w:color w:val="auto"/>
          <w:kern w:val="0"/>
          <w:sz w:val="27"/>
          <w:szCs w:val="27"/>
          <w:u w:val="none"/>
        </w:rPr>
        <w:t>（一）预算绩效管理工作开展情况。</w:t>
      </w:r>
    </w:p>
    <w:p w14:paraId="5DC0D5AB">
      <w:pPr>
        <w:keepNext w:val="0"/>
        <w:keepLines w:val="0"/>
        <w:pageBreakBefore w:val="0"/>
        <w:widowControl/>
        <w:kinsoku/>
        <w:wordWrap/>
        <w:overflowPunct/>
        <w:topLinePunct w:val="0"/>
        <w:autoSpaceDE/>
        <w:autoSpaceDN/>
        <w:bidi w:val="0"/>
        <w:adjustRightInd/>
        <w:snapToGrid/>
        <w:spacing w:before="240" w:after="240" w:line="560" w:lineRule="exact"/>
        <w:ind w:firstLine="640" w:firstLineChars="200"/>
        <w:textAlignment w:val="auto"/>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内蒙古自治区巴彦淖尔市乌拉特后旗社会保险事业服务中心根据预算绩效管理要求组织对2023年一般公共预算项目支出全面开展绩效自评，其中一级项目</w:t>
      </w:r>
      <w:r>
        <w:rPr>
          <w:rFonts w:hint="eastAsia" w:ascii="仿宋_GB2312" w:hAnsi="仿宋_GB2312" w:eastAsia="仿宋_GB2312" w:cs="仿宋_GB2312"/>
          <w:color w:val="auto"/>
          <w:kern w:val="0"/>
          <w:sz w:val="32"/>
          <w:szCs w:val="32"/>
          <w:u w:val="none"/>
          <w:lang w:val="en-US" w:eastAsia="zh-CN"/>
        </w:rPr>
        <w:t>0</w:t>
      </w:r>
      <w:r>
        <w:rPr>
          <w:rFonts w:hint="eastAsia" w:ascii="仿宋_GB2312" w:hAnsi="仿宋_GB2312" w:eastAsia="仿宋_GB2312" w:cs="仿宋_GB2312"/>
          <w:color w:val="auto"/>
          <w:kern w:val="0"/>
          <w:sz w:val="32"/>
          <w:szCs w:val="32"/>
          <w:u w:val="none"/>
        </w:rPr>
        <w:t>个，二级项目</w:t>
      </w:r>
      <w:r>
        <w:rPr>
          <w:rFonts w:hint="eastAsia" w:ascii="仿宋_GB2312" w:hAnsi="仿宋_GB2312" w:eastAsia="仿宋_GB2312" w:cs="仿宋_GB2312"/>
          <w:color w:val="auto"/>
          <w:kern w:val="0"/>
          <w:sz w:val="32"/>
          <w:szCs w:val="32"/>
          <w:u w:val="none"/>
          <w:lang w:val="en-US" w:eastAsia="zh-CN"/>
        </w:rPr>
        <w:t>2</w:t>
      </w:r>
      <w:r>
        <w:rPr>
          <w:rFonts w:hint="eastAsia" w:ascii="仿宋_GB2312" w:hAnsi="仿宋_GB2312" w:eastAsia="仿宋_GB2312" w:cs="仿宋_GB2312"/>
          <w:color w:val="auto"/>
          <w:kern w:val="0"/>
          <w:sz w:val="32"/>
          <w:szCs w:val="32"/>
          <w:u w:val="none"/>
        </w:rPr>
        <w:t>个，共涉及资金</w:t>
      </w:r>
      <w:r>
        <w:rPr>
          <w:rFonts w:hint="eastAsia" w:ascii="仿宋_GB2312" w:hAnsi="仿宋_GB2312" w:eastAsia="仿宋_GB2312" w:cs="仿宋_GB2312"/>
          <w:color w:val="auto"/>
          <w:kern w:val="0"/>
          <w:sz w:val="32"/>
          <w:szCs w:val="32"/>
          <w:u w:val="none"/>
          <w:lang w:val="en-US" w:eastAsia="zh-CN"/>
        </w:rPr>
        <w:t>5.99</w:t>
      </w:r>
      <w:r>
        <w:rPr>
          <w:rFonts w:hint="eastAsia" w:ascii="仿宋_GB2312" w:hAnsi="仿宋_GB2312" w:eastAsia="仿宋_GB2312" w:cs="仿宋_GB2312"/>
          <w:color w:val="auto"/>
          <w:kern w:val="0"/>
          <w:sz w:val="32"/>
          <w:szCs w:val="32"/>
          <w:u w:val="none"/>
        </w:rPr>
        <w:t>万元，占一般公共预算项目支出总额的100%；政府性基金预算项目</w:t>
      </w:r>
      <w:r>
        <w:rPr>
          <w:rFonts w:hint="eastAsia" w:ascii="仿宋_GB2312" w:hAnsi="仿宋_GB2312" w:eastAsia="仿宋_GB2312" w:cs="仿宋_GB2312"/>
          <w:color w:val="auto"/>
          <w:kern w:val="0"/>
          <w:sz w:val="32"/>
          <w:szCs w:val="32"/>
          <w:u w:val="none"/>
          <w:lang w:val="en-US" w:eastAsia="zh-CN"/>
        </w:rPr>
        <w:t>0</w:t>
      </w:r>
      <w:r>
        <w:rPr>
          <w:rFonts w:hint="eastAsia" w:ascii="仿宋_GB2312" w:hAnsi="仿宋_GB2312" w:eastAsia="仿宋_GB2312" w:cs="仿宋_GB2312"/>
          <w:color w:val="auto"/>
          <w:kern w:val="0"/>
          <w:sz w:val="32"/>
          <w:szCs w:val="32"/>
          <w:u w:val="none"/>
        </w:rPr>
        <w:t>个，其中，一级项目 </w:t>
      </w:r>
      <w:r>
        <w:rPr>
          <w:rFonts w:hint="eastAsia" w:ascii="仿宋_GB2312" w:hAnsi="仿宋_GB2312" w:eastAsia="仿宋_GB2312" w:cs="仿宋_GB2312"/>
          <w:color w:val="auto"/>
          <w:kern w:val="0"/>
          <w:sz w:val="32"/>
          <w:szCs w:val="32"/>
          <w:u w:val="none"/>
          <w:lang w:val="en-US" w:eastAsia="zh-CN"/>
        </w:rPr>
        <w:t>0</w:t>
      </w:r>
      <w:r>
        <w:rPr>
          <w:rFonts w:hint="eastAsia" w:ascii="仿宋_GB2312" w:hAnsi="仿宋_GB2312" w:eastAsia="仿宋_GB2312" w:cs="仿宋_GB2312"/>
          <w:color w:val="auto"/>
          <w:kern w:val="0"/>
          <w:sz w:val="32"/>
          <w:szCs w:val="32"/>
          <w:u w:val="none"/>
        </w:rPr>
        <w:t> 个，二级项目</w:t>
      </w:r>
      <w:r>
        <w:rPr>
          <w:rFonts w:hint="eastAsia" w:ascii="仿宋_GB2312" w:hAnsi="仿宋_GB2312" w:eastAsia="仿宋_GB2312" w:cs="仿宋_GB2312"/>
          <w:color w:val="auto"/>
          <w:kern w:val="0"/>
          <w:sz w:val="32"/>
          <w:szCs w:val="32"/>
          <w:u w:val="none"/>
          <w:lang w:val="en-US" w:eastAsia="zh-CN"/>
        </w:rPr>
        <w:t>0</w:t>
      </w:r>
      <w:r>
        <w:rPr>
          <w:rFonts w:hint="eastAsia" w:ascii="仿宋_GB2312" w:hAnsi="仿宋_GB2312" w:eastAsia="仿宋_GB2312" w:cs="仿宋_GB2312"/>
          <w:color w:val="auto"/>
          <w:kern w:val="0"/>
          <w:sz w:val="32"/>
          <w:szCs w:val="32"/>
          <w:u w:val="none"/>
        </w:rPr>
        <w:t>个，共涉及资金</w:t>
      </w:r>
      <w:r>
        <w:rPr>
          <w:rFonts w:hint="eastAsia" w:ascii="仿宋_GB2312" w:hAnsi="仿宋_GB2312" w:eastAsia="仿宋_GB2312" w:cs="仿宋_GB2312"/>
          <w:color w:val="auto"/>
          <w:kern w:val="0"/>
          <w:sz w:val="32"/>
          <w:szCs w:val="32"/>
          <w:u w:val="none"/>
          <w:lang w:val="en-US" w:eastAsia="zh-CN"/>
        </w:rPr>
        <w:t>0</w:t>
      </w:r>
      <w:r>
        <w:rPr>
          <w:rFonts w:hint="eastAsia" w:ascii="仿宋_GB2312" w:hAnsi="仿宋_GB2312" w:eastAsia="仿宋_GB2312" w:cs="仿宋_GB2312"/>
          <w:color w:val="auto"/>
          <w:kern w:val="0"/>
          <w:sz w:val="32"/>
          <w:szCs w:val="32"/>
          <w:u w:val="none"/>
        </w:rPr>
        <w:t>万元，占应纳入绩效自评的政府性基金预算项目支出总额的0%。</w:t>
      </w:r>
      <w:r>
        <w:rPr>
          <w:rFonts w:hint="eastAsia" w:ascii="仿宋_GB2312" w:hAnsi="仿宋_GB2312" w:eastAsia="仿宋_GB2312" w:cs="仿宋_GB2312"/>
          <w:color w:val="auto"/>
          <w:kern w:val="0"/>
          <w:sz w:val="32"/>
          <w:szCs w:val="32"/>
          <w:u w:val="none"/>
          <w:lang w:val="en-US" w:eastAsia="zh-CN"/>
        </w:rPr>
        <w:t>我单位</w:t>
      </w:r>
      <w:r>
        <w:rPr>
          <w:rFonts w:hint="eastAsia" w:ascii="仿宋_GB2312" w:hAnsi="仿宋_GB2312" w:eastAsia="仿宋_GB2312" w:cs="仿宋_GB2312"/>
          <w:color w:val="auto"/>
          <w:kern w:val="0"/>
          <w:sz w:val="32"/>
          <w:szCs w:val="32"/>
          <w:u w:val="none"/>
        </w:rPr>
        <w:t>对“城乡居民养老保险工作经费及经费”、“2022年农牧业转移人口市民化奖励资金”等  </w:t>
      </w:r>
      <w:r>
        <w:rPr>
          <w:rFonts w:hint="eastAsia" w:ascii="仿宋_GB2312" w:hAnsi="仿宋_GB2312" w:eastAsia="仿宋_GB2312" w:cs="仿宋_GB2312"/>
          <w:color w:val="auto"/>
          <w:kern w:val="0"/>
          <w:sz w:val="32"/>
          <w:szCs w:val="32"/>
          <w:u w:val="none"/>
          <w:lang w:val="en-US" w:eastAsia="zh-CN"/>
        </w:rPr>
        <w:t>2</w:t>
      </w:r>
      <w:r>
        <w:rPr>
          <w:rFonts w:hint="eastAsia" w:ascii="仿宋_GB2312" w:hAnsi="仿宋_GB2312" w:eastAsia="仿宋_GB2312" w:cs="仿宋_GB2312"/>
          <w:color w:val="auto"/>
          <w:kern w:val="0"/>
          <w:sz w:val="32"/>
          <w:szCs w:val="32"/>
          <w:u w:val="none"/>
        </w:rPr>
        <w:t>  个项目开展了单位评价，涉及一般公共预算支出</w:t>
      </w:r>
      <w:r>
        <w:rPr>
          <w:rFonts w:hint="eastAsia" w:ascii="仿宋_GB2312" w:hAnsi="仿宋_GB2312" w:eastAsia="仿宋_GB2312" w:cs="仿宋_GB2312"/>
          <w:color w:val="auto"/>
          <w:kern w:val="0"/>
          <w:sz w:val="32"/>
          <w:szCs w:val="32"/>
          <w:u w:val="none"/>
          <w:lang w:val="en-US" w:eastAsia="zh-CN"/>
        </w:rPr>
        <w:t>5.99</w:t>
      </w:r>
      <w:r>
        <w:rPr>
          <w:rFonts w:hint="eastAsia" w:ascii="仿宋_GB2312" w:hAnsi="仿宋_GB2312" w:eastAsia="仿宋_GB2312" w:cs="仿宋_GB2312"/>
          <w:color w:val="auto"/>
          <w:kern w:val="0"/>
          <w:sz w:val="32"/>
          <w:szCs w:val="32"/>
          <w:u w:val="none"/>
        </w:rPr>
        <w:t>万元，政府性基金支出</w:t>
      </w:r>
      <w:r>
        <w:rPr>
          <w:rFonts w:hint="eastAsia" w:ascii="仿宋_GB2312" w:hAnsi="仿宋_GB2312" w:eastAsia="仿宋_GB2312" w:cs="仿宋_GB2312"/>
          <w:color w:val="auto"/>
          <w:kern w:val="0"/>
          <w:sz w:val="32"/>
          <w:szCs w:val="32"/>
          <w:u w:val="none"/>
          <w:lang w:val="en-US" w:eastAsia="zh-CN"/>
        </w:rPr>
        <w:t>0</w:t>
      </w:r>
      <w:r>
        <w:rPr>
          <w:rFonts w:hint="eastAsia" w:ascii="仿宋_GB2312" w:hAnsi="仿宋_GB2312" w:eastAsia="仿宋_GB2312" w:cs="仿宋_GB2312"/>
          <w:color w:val="auto"/>
          <w:kern w:val="0"/>
          <w:sz w:val="32"/>
          <w:szCs w:val="32"/>
          <w:u w:val="none"/>
        </w:rPr>
        <w:t>万元。其中，对“城乡居民养老保险工作经费及经费”、“2022年农牧业转移人口市民化奖励资金”等项目开展绩效评价。从评价情况看，城乡居民养老保险业务工作经费及档案管理经费单位运转类经费、用于支付办公费、印刷费、差旅费、劳务费、培训费、维修费等必要支出，年底已全部支付完毕。</w:t>
      </w:r>
    </w:p>
    <w:p w14:paraId="7D649738">
      <w:pPr>
        <w:keepNext w:val="0"/>
        <w:keepLines w:val="0"/>
        <w:pageBreakBefore w:val="0"/>
        <w:widowControl/>
        <w:kinsoku/>
        <w:wordWrap/>
        <w:overflowPunct/>
        <w:topLinePunct w:val="0"/>
        <w:autoSpaceDE/>
        <w:autoSpaceDN/>
        <w:bidi w:val="0"/>
        <w:adjustRightInd/>
        <w:snapToGrid/>
        <w:spacing w:before="240" w:after="240" w:line="560" w:lineRule="exact"/>
        <w:ind w:firstLine="542" w:firstLineChars="200"/>
        <w:jc w:val="left"/>
        <w:textAlignment w:val="auto"/>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b/>
          <w:bCs/>
          <w:color w:val="auto"/>
          <w:kern w:val="0"/>
          <w:sz w:val="27"/>
          <w:szCs w:val="27"/>
          <w:u w:val="none"/>
        </w:rPr>
        <w:t>  （二）</w:t>
      </w:r>
      <w:r>
        <w:rPr>
          <w:rFonts w:hint="eastAsia" w:ascii="方正楷体_GB2312" w:hAnsi="方正楷体_GB2312" w:eastAsia="方正楷体_GB2312" w:cs="方正楷体_GB2312"/>
          <w:b/>
          <w:bCs/>
          <w:color w:val="auto"/>
          <w:kern w:val="0"/>
          <w:sz w:val="27"/>
          <w:szCs w:val="27"/>
          <w:u w:val="none"/>
          <w:lang w:eastAsia="zh-CN"/>
        </w:rPr>
        <w:t>单位</w:t>
      </w:r>
      <w:r>
        <w:rPr>
          <w:rFonts w:ascii="方正楷体_GB2312" w:hAnsi="方正楷体_GB2312" w:eastAsia="方正楷体_GB2312" w:cs="方正楷体_GB2312"/>
          <w:b/>
          <w:bCs/>
          <w:color w:val="auto"/>
          <w:kern w:val="0"/>
          <w:sz w:val="27"/>
          <w:szCs w:val="27"/>
          <w:u w:val="none"/>
        </w:rPr>
        <w:t>决算中项目绩效自评结果。</w:t>
      </w:r>
    </w:p>
    <w:p w14:paraId="31BE20AB">
      <w:pPr>
        <w:keepNext w:val="0"/>
        <w:keepLines w:val="0"/>
        <w:pageBreakBefore w:val="0"/>
        <w:widowControl/>
        <w:kinsoku/>
        <w:wordWrap/>
        <w:overflowPunct/>
        <w:topLinePunct w:val="0"/>
        <w:autoSpaceDE/>
        <w:autoSpaceDN/>
        <w:bidi w:val="0"/>
        <w:adjustRightInd/>
        <w:snapToGrid/>
        <w:spacing w:before="240" w:after="240" w:line="560" w:lineRule="exact"/>
        <w:ind w:firstLine="640" w:firstLineChars="200"/>
        <w:textAlignment w:val="auto"/>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内蒙古自治区巴彦淖尔市乌拉特后旗社会保险事业服务中心2023年度在决算中反映</w:t>
      </w:r>
      <w:r>
        <w:rPr>
          <w:rFonts w:hint="eastAsia" w:ascii="仿宋_GB2312" w:hAnsi="仿宋_GB2312" w:eastAsia="仿宋_GB2312" w:cs="仿宋_GB2312"/>
          <w:color w:val="auto"/>
          <w:kern w:val="0"/>
          <w:sz w:val="32"/>
          <w:szCs w:val="32"/>
          <w:u w:val="none"/>
          <w:lang w:val="en-US" w:eastAsia="zh-CN"/>
        </w:rPr>
        <w:t>2</w:t>
      </w:r>
      <w:r>
        <w:rPr>
          <w:rFonts w:hint="eastAsia" w:ascii="仿宋_GB2312" w:hAnsi="仿宋_GB2312" w:eastAsia="仿宋_GB2312" w:cs="仿宋_GB2312"/>
          <w:color w:val="auto"/>
          <w:kern w:val="0"/>
          <w:sz w:val="32"/>
          <w:szCs w:val="32"/>
          <w:u w:val="none"/>
        </w:rPr>
        <w:t>个一般公共预算项目，以及</w:t>
      </w:r>
      <w:r>
        <w:rPr>
          <w:rFonts w:hint="eastAsia" w:ascii="仿宋_GB2312" w:hAnsi="仿宋_GB2312" w:eastAsia="仿宋_GB2312" w:cs="仿宋_GB2312"/>
          <w:color w:val="auto"/>
          <w:kern w:val="0"/>
          <w:sz w:val="32"/>
          <w:szCs w:val="32"/>
          <w:u w:val="none"/>
          <w:lang w:val="en-US" w:eastAsia="zh-CN"/>
        </w:rPr>
        <w:t>0</w:t>
      </w:r>
      <w:r>
        <w:rPr>
          <w:rFonts w:hint="eastAsia" w:ascii="仿宋_GB2312" w:hAnsi="仿宋_GB2312" w:eastAsia="仿宋_GB2312" w:cs="仿宋_GB2312"/>
          <w:color w:val="auto"/>
          <w:kern w:val="0"/>
          <w:sz w:val="32"/>
          <w:szCs w:val="32"/>
          <w:u w:val="none"/>
        </w:rPr>
        <w:t>个政府性基金项目，共</w:t>
      </w:r>
      <w:r>
        <w:rPr>
          <w:rFonts w:hint="eastAsia" w:ascii="仿宋_GB2312" w:hAnsi="仿宋_GB2312" w:eastAsia="仿宋_GB2312" w:cs="仿宋_GB2312"/>
          <w:color w:val="auto"/>
          <w:kern w:val="0"/>
          <w:sz w:val="32"/>
          <w:szCs w:val="32"/>
          <w:u w:val="none"/>
          <w:lang w:val="en-US" w:eastAsia="zh-CN"/>
        </w:rPr>
        <w:t>2</w:t>
      </w:r>
      <w:r>
        <w:rPr>
          <w:rFonts w:hint="eastAsia" w:ascii="仿宋_GB2312" w:hAnsi="仿宋_GB2312" w:eastAsia="仿宋_GB2312" w:cs="仿宋_GB2312"/>
          <w:color w:val="auto"/>
          <w:kern w:val="0"/>
          <w:sz w:val="32"/>
          <w:szCs w:val="32"/>
          <w:u w:val="none"/>
        </w:rPr>
        <w:t>个项目的绩效自评结果。</w:t>
      </w:r>
    </w:p>
    <w:p w14:paraId="5178C369">
      <w:pPr>
        <w:keepNext w:val="0"/>
        <w:keepLines w:val="0"/>
        <w:pageBreakBefore w:val="0"/>
        <w:widowControl/>
        <w:numPr>
          <w:ilvl w:val="0"/>
          <w:numId w:val="5"/>
        </w:numPr>
        <w:kinsoku/>
        <w:wordWrap/>
        <w:overflowPunct/>
        <w:topLinePunct w:val="0"/>
        <w:autoSpaceDE/>
        <w:autoSpaceDN/>
        <w:bidi w:val="0"/>
        <w:adjustRightInd/>
        <w:snapToGrid/>
        <w:spacing w:before="240" w:after="240" w:line="560" w:lineRule="exact"/>
        <w:ind w:firstLine="640" w:firstLineChars="200"/>
        <w:textAlignment w:val="auto"/>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城乡居民养老保险工作经费及经费项目自评综述：根据年初设定的绩效目标，项目自评得分</w:t>
      </w:r>
      <w:r>
        <w:rPr>
          <w:rFonts w:hint="eastAsia" w:ascii="仿宋_GB2312" w:hAnsi="仿宋_GB2312" w:eastAsia="仿宋_GB2312" w:cs="仿宋_GB2312"/>
          <w:color w:val="auto"/>
          <w:kern w:val="0"/>
          <w:sz w:val="32"/>
          <w:szCs w:val="32"/>
          <w:u w:val="none"/>
          <w:lang w:val="en-US" w:eastAsia="zh-CN"/>
        </w:rPr>
        <w:t>100</w:t>
      </w:r>
      <w:r>
        <w:rPr>
          <w:rFonts w:hint="eastAsia" w:ascii="仿宋_GB2312" w:hAnsi="仿宋_GB2312" w:eastAsia="仿宋_GB2312" w:cs="仿宋_GB2312"/>
          <w:color w:val="auto"/>
          <w:kern w:val="0"/>
          <w:sz w:val="32"/>
          <w:szCs w:val="32"/>
          <w:u w:val="none"/>
        </w:rPr>
        <w:t>分。全年预算数为</w:t>
      </w:r>
      <w:r>
        <w:rPr>
          <w:rFonts w:hint="eastAsia" w:ascii="仿宋_GB2312" w:hAnsi="仿宋_GB2312" w:eastAsia="仿宋_GB2312" w:cs="仿宋_GB2312"/>
          <w:color w:val="auto"/>
          <w:kern w:val="0"/>
          <w:sz w:val="32"/>
          <w:szCs w:val="32"/>
          <w:u w:val="none"/>
          <w:lang w:val="en-US" w:eastAsia="zh-CN"/>
        </w:rPr>
        <w:t>3</w:t>
      </w:r>
      <w:r>
        <w:rPr>
          <w:rFonts w:hint="eastAsia" w:ascii="仿宋_GB2312" w:hAnsi="仿宋_GB2312" w:eastAsia="仿宋_GB2312" w:cs="仿宋_GB2312"/>
          <w:color w:val="auto"/>
          <w:kern w:val="0"/>
          <w:sz w:val="32"/>
          <w:szCs w:val="32"/>
          <w:u w:val="none"/>
        </w:rPr>
        <w:t>万元，执行数为</w:t>
      </w:r>
      <w:r>
        <w:rPr>
          <w:rFonts w:hint="eastAsia" w:ascii="仿宋_GB2312" w:hAnsi="仿宋_GB2312" w:eastAsia="仿宋_GB2312" w:cs="仿宋_GB2312"/>
          <w:color w:val="auto"/>
          <w:kern w:val="0"/>
          <w:sz w:val="32"/>
          <w:szCs w:val="32"/>
          <w:u w:val="none"/>
          <w:lang w:val="en-US" w:eastAsia="zh-CN"/>
        </w:rPr>
        <w:t>3</w:t>
      </w:r>
      <w:r>
        <w:rPr>
          <w:rFonts w:hint="eastAsia" w:ascii="仿宋_GB2312" w:hAnsi="仿宋_GB2312" w:eastAsia="仿宋_GB2312" w:cs="仿宋_GB2312"/>
          <w:color w:val="auto"/>
          <w:kern w:val="0"/>
          <w:sz w:val="32"/>
          <w:szCs w:val="32"/>
          <w:u w:val="none"/>
        </w:rPr>
        <w:t>万元，完成预算的</w:t>
      </w:r>
      <w:r>
        <w:rPr>
          <w:rFonts w:hint="eastAsia" w:ascii="仿宋_GB2312" w:hAnsi="仿宋_GB2312" w:eastAsia="仿宋_GB2312" w:cs="仿宋_GB2312"/>
          <w:color w:val="auto"/>
          <w:kern w:val="0"/>
          <w:sz w:val="32"/>
          <w:szCs w:val="32"/>
          <w:u w:val="none"/>
          <w:lang w:val="en-US" w:eastAsia="zh-CN"/>
        </w:rPr>
        <w:t>100</w:t>
      </w:r>
      <w:r>
        <w:rPr>
          <w:rFonts w:hint="eastAsia" w:ascii="仿宋_GB2312" w:hAnsi="仿宋_GB2312" w:eastAsia="仿宋_GB2312" w:cs="仿宋_GB2312"/>
          <w:color w:val="auto"/>
          <w:kern w:val="0"/>
          <w:sz w:val="32"/>
          <w:szCs w:val="32"/>
          <w:u w:val="none"/>
        </w:rPr>
        <w:t>%。项目绩效目标完成情况：单位运转类经费、用于支付办公费、印刷费、差旅费、劳务费、培训费、维修费等必要支出，年底已全部支付完毕。发现的主要问题及原因：各科室负责人未参与项目绩效目标的制定和评价。下一步改进措施：加强学习业务知识，对自己的工作认真负责，积极改进，更加优化绩效评价工作。2.2022年农牧业转移人口市民化奖励资金项目自评综述：根据年初设定的绩效目标，项目自评得分</w:t>
      </w:r>
      <w:r>
        <w:rPr>
          <w:rFonts w:hint="eastAsia" w:ascii="仿宋_GB2312" w:hAnsi="仿宋_GB2312" w:eastAsia="仿宋_GB2312" w:cs="仿宋_GB2312"/>
          <w:color w:val="auto"/>
          <w:kern w:val="0"/>
          <w:sz w:val="32"/>
          <w:szCs w:val="32"/>
          <w:u w:val="none"/>
          <w:lang w:val="en-US" w:eastAsia="zh-CN"/>
        </w:rPr>
        <w:t>100</w:t>
      </w:r>
      <w:r>
        <w:rPr>
          <w:rFonts w:hint="eastAsia" w:ascii="仿宋_GB2312" w:hAnsi="仿宋_GB2312" w:eastAsia="仿宋_GB2312" w:cs="仿宋_GB2312"/>
          <w:color w:val="auto"/>
          <w:kern w:val="0"/>
          <w:sz w:val="32"/>
          <w:szCs w:val="32"/>
          <w:u w:val="none"/>
        </w:rPr>
        <w:t>分。全年预算数为</w:t>
      </w:r>
      <w:r>
        <w:rPr>
          <w:rFonts w:hint="eastAsia" w:ascii="仿宋_GB2312" w:hAnsi="仿宋_GB2312" w:eastAsia="仿宋_GB2312" w:cs="仿宋_GB2312"/>
          <w:color w:val="auto"/>
          <w:kern w:val="0"/>
          <w:sz w:val="32"/>
          <w:szCs w:val="32"/>
          <w:u w:val="none"/>
          <w:lang w:val="en-US" w:eastAsia="zh-CN"/>
        </w:rPr>
        <w:t>3</w:t>
      </w:r>
      <w:r>
        <w:rPr>
          <w:rFonts w:hint="eastAsia" w:ascii="仿宋_GB2312" w:hAnsi="仿宋_GB2312" w:eastAsia="仿宋_GB2312" w:cs="仿宋_GB2312"/>
          <w:color w:val="auto"/>
          <w:kern w:val="0"/>
          <w:sz w:val="32"/>
          <w:szCs w:val="32"/>
          <w:u w:val="none"/>
        </w:rPr>
        <w:t>万元，执行数为</w:t>
      </w:r>
      <w:r>
        <w:rPr>
          <w:rFonts w:hint="eastAsia" w:ascii="仿宋_GB2312" w:hAnsi="仿宋_GB2312" w:eastAsia="仿宋_GB2312" w:cs="仿宋_GB2312"/>
          <w:color w:val="auto"/>
          <w:kern w:val="0"/>
          <w:sz w:val="32"/>
          <w:szCs w:val="32"/>
          <w:u w:val="none"/>
          <w:lang w:val="en-US" w:eastAsia="zh-CN"/>
        </w:rPr>
        <w:t>2.99</w:t>
      </w:r>
      <w:r>
        <w:rPr>
          <w:rFonts w:hint="eastAsia" w:ascii="仿宋_GB2312" w:hAnsi="仿宋_GB2312" w:eastAsia="仿宋_GB2312" w:cs="仿宋_GB2312"/>
          <w:color w:val="auto"/>
          <w:kern w:val="0"/>
          <w:sz w:val="32"/>
          <w:szCs w:val="32"/>
          <w:u w:val="none"/>
        </w:rPr>
        <w:t>万元，完成预算的</w:t>
      </w:r>
      <w:r>
        <w:rPr>
          <w:rFonts w:hint="eastAsia" w:ascii="仿宋_GB2312" w:hAnsi="仿宋_GB2312" w:eastAsia="仿宋_GB2312" w:cs="仿宋_GB2312"/>
          <w:color w:val="auto"/>
          <w:kern w:val="0"/>
          <w:sz w:val="32"/>
          <w:szCs w:val="32"/>
          <w:u w:val="none"/>
          <w:lang w:val="en-US" w:eastAsia="zh-CN"/>
        </w:rPr>
        <w:t>99</w:t>
      </w:r>
      <w:r>
        <w:rPr>
          <w:rFonts w:hint="eastAsia" w:ascii="仿宋_GB2312" w:hAnsi="仿宋_GB2312" w:eastAsia="仿宋_GB2312" w:cs="仿宋_GB2312"/>
          <w:color w:val="auto"/>
          <w:kern w:val="0"/>
          <w:sz w:val="32"/>
          <w:szCs w:val="32"/>
          <w:u w:val="none"/>
        </w:rPr>
        <w:t>%。项目绩效目标完成情况：</w:t>
      </w:r>
      <w:r>
        <w:rPr>
          <w:rFonts w:hint="eastAsia" w:ascii="仿宋_GB2312" w:hAnsi="仿宋_GB2312" w:eastAsia="仿宋_GB2312" w:cs="仿宋_GB2312"/>
          <w:color w:val="auto"/>
          <w:kern w:val="0"/>
          <w:sz w:val="32"/>
          <w:szCs w:val="32"/>
          <w:u w:val="none"/>
          <w:lang w:val="en-US" w:eastAsia="zh-CN"/>
        </w:rPr>
        <w:t>该项目主要用于</w:t>
      </w:r>
      <w:r>
        <w:rPr>
          <w:rFonts w:hint="eastAsia" w:ascii="仿宋_GB2312" w:hAnsi="仿宋_GB2312" w:eastAsia="仿宋_GB2312" w:cs="仿宋_GB2312"/>
          <w:color w:val="auto"/>
          <w:kern w:val="0"/>
          <w:sz w:val="32"/>
          <w:szCs w:val="32"/>
          <w:u w:val="none"/>
        </w:rPr>
        <w:t>单位运转类经费、用于支付办公费、印刷费、差旅费、劳务费、培训费、维修费等必要支出，年底已全部支付完毕。发现的主要问题及原因：各科室负责人未参与项目绩效目标的制定和评价。下一步改进措施：加强学习业务知识，对自己的工作认真负责，积极改进，更加优化绩效评价工作。 </w:t>
      </w:r>
    </w:p>
    <w:p w14:paraId="55BF7B45">
      <w:pPr>
        <w:keepNext w:val="0"/>
        <w:keepLines w:val="0"/>
        <w:pageBreakBefore w:val="0"/>
        <w:widowControl/>
        <w:numPr>
          <w:ilvl w:val="0"/>
          <w:numId w:val="0"/>
        </w:numPr>
        <w:kinsoku/>
        <w:wordWrap/>
        <w:overflowPunct/>
        <w:topLinePunct w:val="0"/>
        <w:autoSpaceDE/>
        <w:autoSpaceDN/>
        <w:bidi w:val="0"/>
        <w:adjustRightInd/>
        <w:snapToGrid/>
        <w:spacing w:before="240" w:after="240" w:line="560" w:lineRule="exact"/>
        <w:jc w:val="both"/>
        <w:textAlignment w:val="auto"/>
        <w:rPr>
          <w:rFonts w:hint="eastAsia" w:ascii="仿宋_GB2312" w:hAnsi="仿宋_GB2312" w:eastAsia="仿宋_GB2312" w:cs="仿宋_GB2312"/>
          <w:color w:val="auto"/>
          <w:kern w:val="0"/>
          <w:sz w:val="32"/>
          <w:szCs w:val="32"/>
          <w:u w:val="none"/>
        </w:rPr>
      </w:pPr>
    </w:p>
    <w:p w14:paraId="4CE7BCB8">
      <w:pPr>
        <w:pStyle w:val="2"/>
        <w:rPr>
          <w:rFonts w:hint="eastAsia" w:ascii="仿宋_GB2312" w:hAnsi="仿宋_GB2312" w:eastAsia="仿宋_GB2312" w:cs="仿宋_GB2312"/>
          <w:color w:val="auto"/>
          <w:kern w:val="0"/>
          <w:sz w:val="32"/>
          <w:szCs w:val="32"/>
          <w:u w:val="none"/>
        </w:rPr>
      </w:pPr>
    </w:p>
    <w:p w14:paraId="28E615E4">
      <w:pPr>
        <w:pStyle w:val="2"/>
        <w:rPr>
          <w:rFonts w:hint="eastAsia" w:ascii="仿宋_GB2312" w:hAnsi="仿宋_GB2312" w:eastAsia="仿宋_GB2312" w:cs="仿宋_GB2312"/>
          <w:color w:val="auto"/>
          <w:kern w:val="0"/>
          <w:sz w:val="32"/>
          <w:szCs w:val="32"/>
          <w:u w:val="none"/>
        </w:rPr>
      </w:pPr>
    </w:p>
    <w:p w14:paraId="4BE11DAB">
      <w:pPr>
        <w:pageBreakBefore w:val="0"/>
        <w:widowControl/>
        <w:kinsoku/>
        <w:wordWrap/>
        <w:overflowPunct/>
        <w:topLinePunct w:val="0"/>
        <w:autoSpaceDE/>
        <w:autoSpaceDN/>
        <w:bidi w:val="0"/>
        <w:spacing w:before="240" w:after="240" w:line="560" w:lineRule="exact"/>
        <w:ind w:firstLine="485"/>
        <w:rPr>
          <w:rFonts w:ascii="方正楷体_GB2312" w:hAnsi="方正楷体_GB2312" w:eastAsia="方正楷体_GB2312" w:cs="方正楷体_GB2312"/>
          <w:color w:val="auto"/>
          <w:kern w:val="0"/>
          <w:sz w:val="27"/>
          <w:szCs w:val="27"/>
          <w:u w:val="none"/>
        </w:rPr>
      </w:pPr>
      <w:r>
        <w:rPr>
          <w:rFonts w:ascii="方正楷体_GB2312" w:hAnsi="方正楷体_GB2312" w:eastAsia="方正楷体_GB2312" w:cs="方正楷体_GB2312"/>
          <w:color w:val="auto"/>
          <w:kern w:val="0"/>
          <w:sz w:val="27"/>
          <w:szCs w:val="27"/>
          <w:u w:val="none"/>
        </w:rPr>
        <w:t> </w:t>
      </w:r>
    </w:p>
    <w:tbl>
      <w:tblPr>
        <w:tblStyle w:val="1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64"/>
        <w:gridCol w:w="870"/>
        <w:gridCol w:w="864"/>
        <w:gridCol w:w="800"/>
        <w:gridCol w:w="800"/>
        <w:gridCol w:w="816"/>
        <w:gridCol w:w="806"/>
        <w:gridCol w:w="800"/>
        <w:gridCol w:w="833"/>
        <w:gridCol w:w="805"/>
        <w:gridCol w:w="835"/>
        <w:gridCol w:w="863"/>
      </w:tblGrid>
      <w:tr w14:paraId="38B72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9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38B169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bCs/>
                <w:i w:val="0"/>
                <w:iCs w:val="0"/>
                <w:color w:val="auto"/>
                <w:sz w:val="40"/>
                <w:szCs w:val="40"/>
                <w:u w:val="none"/>
              </w:rPr>
            </w:pPr>
            <w:r>
              <w:rPr>
                <w:rFonts w:hint="eastAsia" w:ascii="宋体" w:hAnsi="宋体" w:eastAsia="宋体" w:cs="宋体"/>
                <w:b/>
                <w:bCs/>
                <w:i w:val="0"/>
                <w:iCs w:val="0"/>
                <w:color w:val="auto"/>
                <w:kern w:val="0"/>
                <w:sz w:val="40"/>
                <w:szCs w:val="40"/>
                <w:u w:val="none"/>
                <w:lang w:val="en-US" w:eastAsia="zh-CN" w:bidi="ar"/>
              </w:rPr>
              <w:t>项目支出绩效自评表</w:t>
            </w:r>
            <w:r>
              <w:rPr>
                <w:rFonts w:hint="eastAsia" w:ascii="宋体" w:hAnsi="宋体" w:eastAsia="宋体" w:cs="宋体"/>
                <w:b/>
                <w:bCs/>
                <w:i w:val="0"/>
                <w:iCs w:val="0"/>
                <w:color w:val="auto"/>
                <w:kern w:val="0"/>
                <w:sz w:val="40"/>
                <w:szCs w:val="40"/>
                <w:u w:val="none"/>
                <w:lang w:val="en-US" w:eastAsia="zh-CN" w:bidi="ar"/>
              </w:rPr>
              <w:br w:type="textWrapping"/>
            </w:r>
            <w:r>
              <w:rPr>
                <w:rFonts w:hint="eastAsia" w:ascii="宋体" w:hAnsi="宋体" w:eastAsia="宋体" w:cs="宋体"/>
                <w:b/>
                <w:bCs/>
                <w:i w:val="0"/>
                <w:iCs w:val="0"/>
                <w:color w:val="auto"/>
                <w:kern w:val="0"/>
                <w:sz w:val="40"/>
                <w:szCs w:val="40"/>
                <w:u w:val="none"/>
                <w:lang w:val="en-US" w:eastAsia="zh-CN" w:bidi="ar"/>
              </w:rPr>
              <w:t>(2023年度）</w:t>
            </w:r>
          </w:p>
        </w:tc>
      </w:tr>
      <w:tr w14:paraId="597B7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8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1A7151">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项目名称</w:t>
            </w:r>
          </w:p>
        </w:tc>
        <w:tc>
          <w:tcPr>
            <w:tcW w:w="412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C3D47B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城乡居民养老保险工作经费及经费</w:t>
            </w:r>
          </w:p>
        </w:tc>
      </w:tr>
      <w:tr w14:paraId="3EBF9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8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0D803A">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主管部门</w:t>
            </w:r>
          </w:p>
        </w:tc>
        <w:tc>
          <w:tcPr>
            <w:tcW w:w="164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7D3183">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乌拉特后旗人力资源和社会保障局（部门）</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98973B">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实施单位</w:t>
            </w:r>
          </w:p>
        </w:tc>
        <w:tc>
          <w:tcPr>
            <w:tcW w:w="16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2FC9FF">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乌拉特后旗社会保险事业服务中心</w:t>
            </w:r>
          </w:p>
        </w:tc>
      </w:tr>
      <w:tr w14:paraId="569D6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87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C757E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项目资金</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（万元）</w:t>
            </w: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7F9A5">
            <w:pPr>
              <w:keepNext w:val="0"/>
              <w:keepLines w:val="0"/>
              <w:pageBreakBefore w:val="0"/>
              <w:kinsoku/>
              <w:wordWrap/>
              <w:overflowPunct/>
              <w:topLinePunct w:val="0"/>
              <w:autoSpaceDE/>
              <w:autoSpaceDN/>
              <w:bidi w:val="0"/>
              <w:adjustRightInd/>
              <w:snapToGrid/>
              <w:spacing w:line="560" w:lineRule="exact"/>
              <w:rPr>
                <w:rFonts w:hint="eastAsia" w:ascii="宋体" w:hAnsi="宋体" w:eastAsia="宋体" w:cs="宋体"/>
                <w:i w:val="0"/>
                <w:iCs w:val="0"/>
                <w:color w:val="auto"/>
                <w:sz w:val="18"/>
                <w:szCs w:val="18"/>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37A6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年初预算数</w:t>
            </w:r>
          </w:p>
        </w:tc>
        <w:tc>
          <w:tcPr>
            <w:tcW w:w="81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60CFE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全年预算数</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A684A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全年执行数</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2D1F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分值</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0E295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执行率（%）</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E68C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得分</w:t>
            </w:r>
          </w:p>
        </w:tc>
      </w:tr>
      <w:tr w14:paraId="780BD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87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2E71A">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C6CD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年度资金总额</w:t>
            </w: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3B9E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w:t>
            </w:r>
          </w:p>
        </w:tc>
        <w:tc>
          <w:tcPr>
            <w:tcW w:w="81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BA52C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5BDCE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37E8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0B9D5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100.00</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C61F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r>
      <w:tr w14:paraId="4C198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87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4D501">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3490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其中：财政拨款</w:t>
            </w: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66A1E">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w:t>
            </w:r>
          </w:p>
        </w:tc>
        <w:tc>
          <w:tcPr>
            <w:tcW w:w="81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AF906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F2307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3D04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Arial" w:hAnsi="Arial" w:eastAsia="宋体" w:cs="Arial"/>
                <w:i w:val="0"/>
                <w:iCs w:val="0"/>
                <w:color w:val="auto"/>
                <w:sz w:val="19"/>
                <w:szCs w:val="19"/>
                <w:u w:val="none"/>
              </w:rPr>
            </w:pPr>
            <w:r>
              <w:rPr>
                <w:rFonts w:hint="default" w:ascii="Arial" w:hAnsi="Arial" w:eastAsia="宋体" w:cs="Arial"/>
                <w:i w:val="0"/>
                <w:iCs w:val="0"/>
                <w:color w:val="auto"/>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1460D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100.00</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C483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Arial" w:hAnsi="Arial" w:eastAsia="宋体" w:cs="Arial"/>
                <w:i w:val="0"/>
                <w:iCs w:val="0"/>
                <w:color w:val="auto"/>
                <w:sz w:val="19"/>
                <w:szCs w:val="19"/>
                <w:u w:val="none"/>
              </w:rPr>
            </w:pPr>
            <w:r>
              <w:rPr>
                <w:rFonts w:hint="default" w:ascii="Arial" w:hAnsi="Arial" w:eastAsia="宋体" w:cs="Arial"/>
                <w:i w:val="0"/>
                <w:iCs w:val="0"/>
                <w:color w:val="auto"/>
                <w:kern w:val="0"/>
                <w:sz w:val="19"/>
                <w:szCs w:val="19"/>
                <w:u w:val="none"/>
                <w:lang w:val="en-US" w:eastAsia="zh-CN" w:bidi="ar"/>
              </w:rPr>
              <w:t>——</w:t>
            </w:r>
          </w:p>
        </w:tc>
      </w:tr>
      <w:tr w14:paraId="1D4CC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87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FB24B">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A355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上年结转资金</w:t>
            </w: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01DE6">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81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E44DD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2CBAA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8324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Arial" w:hAnsi="Arial" w:eastAsia="宋体" w:cs="Arial"/>
                <w:i w:val="0"/>
                <w:iCs w:val="0"/>
                <w:color w:val="auto"/>
                <w:sz w:val="19"/>
                <w:szCs w:val="19"/>
                <w:u w:val="none"/>
              </w:rPr>
            </w:pPr>
            <w:r>
              <w:rPr>
                <w:rFonts w:hint="default" w:ascii="Arial" w:hAnsi="Arial" w:eastAsia="宋体" w:cs="Arial"/>
                <w:i w:val="0"/>
                <w:iCs w:val="0"/>
                <w:color w:val="auto"/>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0CCFD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1D1F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Arial" w:hAnsi="Arial" w:eastAsia="宋体" w:cs="Arial"/>
                <w:i w:val="0"/>
                <w:iCs w:val="0"/>
                <w:color w:val="auto"/>
                <w:sz w:val="19"/>
                <w:szCs w:val="19"/>
                <w:u w:val="none"/>
              </w:rPr>
            </w:pPr>
            <w:r>
              <w:rPr>
                <w:rFonts w:hint="default" w:ascii="Arial" w:hAnsi="Arial" w:eastAsia="宋体" w:cs="Arial"/>
                <w:i w:val="0"/>
                <w:iCs w:val="0"/>
                <w:color w:val="auto"/>
                <w:kern w:val="0"/>
                <w:sz w:val="19"/>
                <w:szCs w:val="19"/>
                <w:u w:val="none"/>
                <w:lang w:val="en-US" w:eastAsia="zh-CN" w:bidi="ar"/>
              </w:rPr>
              <w:t>——</w:t>
            </w:r>
          </w:p>
        </w:tc>
      </w:tr>
      <w:tr w14:paraId="45B77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87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151E3">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2079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其他资金</w:t>
            </w: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85E7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81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3F74C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445FC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E431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Arial" w:hAnsi="Arial" w:eastAsia="宋体" w:cs="Arial"/>
                <w:i w:val="0"/>
                <w:iCs w:val="0"/>
                <w:color w:val="auto"/>
                <w:sz w:val="19"/>
                <w:szCs w:val="19"/>
                <w:u w:val="none"/>
              </w:rPr>
            </w:pPr>
            <w:r>
              <w:rPr>
                <w:rFonts w:hint="default" w:ascii="Arial" w:hAnsi="Arial" w:eastAsia="宋体" w:cs="Arial"/>
                <w:i w:val="0"/>
                <w:iCs w:val="0"/>
                <w:color w:val="auto"/>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7FB9C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6985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Arial" w:hAnsi="Arial" w:eastAsia="宋体" w:cs="Arial"/>
                <w:i w:val="0"/>
                <w:iCs w:val="0"/>
                <w:color w:val="auto"/>
                <w:sz w:val="19"/>
                <w:szCs w:val="19"/>
                <w:u w:val="none"/>
              </w:rPr>
            </w:pPr>
            <w:r>
              <w:rPr>
                <w:rFonts w:hint="default" w:ascii="Arial" w:hAnsi="Arial" w:eastAsia="宋体" w:cs="Arial"/>
                <w:i w:val="0"/>
                <w:iCs w:val="0"/>
                <w:color w:val="auto"/>
                <w:kern w:val="0"/>
                <w:sz w:val="19"/>
                <w:szCs w:val="19"/>
                <w:u w:val="none"/>
                <w:lang w:val="en-US" w:eastAsia="zh-CN" w:bidi="ar"/>
              </w:rPr>
              <w:t>——</w:t>
            </w:r>
          </w:p>
        </w:tc>
      </w:tr>
      <w:tr w14:paraId="300D9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87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1270C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年度总体目标</w:t>
            </w:r>
          </w:p>
        </w:tc>
        <w:tc>
          <w:tcPr>
            <w:tcW w:w="205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F7FFC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预期目标</w:t>
            </w:r>
          </w:p>
        </w:tc>
        <w:tc>
          <w:tcPr>
            <w:tcW w:w="207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600E7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实际完成情况</w:t>
            </w:r>
          </w:p>
        </w:tc>
      </w:tr>
      <w:tr w14:paraId="3B3CB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87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AA9F5">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205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42F11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单位运转类经费、用于支付办公费、印刷费、差旅费、劳务费、培训费、维修费等必要支出</w:t>
            </w:r>
          </w:p>
        </w:tc>
        <w:tc>
          <w:tcPr>
            <w:tcW w:w="207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627CA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单位运转类经费、用于支付办公费、印刷费、差旅费、劳务费、培训费、维修费等必要支出，年底已全部支付完毕。</w:t>
            </w:r>
          </w:p>
        </w:tc>
      </w:tr>
      <w:tr w14:paraId="352EB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1DD7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绩效指标</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B9E7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一级指标</w:t>
            </w: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CD26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二级指标</w:t>
            </w: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2BE3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三级指标</w:t>
            </w: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7E54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指标性质</w:t>
            </w: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89AA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指标方向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30AB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年度指标值</w:t>
            </w: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A4CB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实际完成值</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4BA2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计量单位</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A284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分值</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0BF0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得分</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E4B4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偏差原因分析及改进措施</w:t>
            </w:r>
          </w:p>
        </w:tc>
      </w:tr>
      <w:tr w14:paraId="610A8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434" w:type="pct"/>
            <w:vMerge w:val="restart"/>
            <w:tcBorders>
              <w:top w:val="single" w:color="000000" w:sz="4" w:space="0"/>
              <w:left w:val="single" w:color="000000" w:sz="4" w:space="0"/>
              <w:bottom w:val="nil"/>
              <w:right w:val="single" w:color="000000" w:sz="4" w:space="0"/>
            </w:tcBorders>
            <w:shd w:val="clear" w:color="auto" w:fill="auto"/>
            <w:vAlign w:val="center"/>
          </w:tcPr>
          <w:p w14:paraId="5737507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绩效指标</w:t>
            </w: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14:paraId="51F989B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产出指标</w:t>
            </w:r>
          </w:p>
        </w:tc>
        <w:tc>
          <w:tcPr>
            <w:tcW w:w="434" w:type="pct"/>
            <w:tcBorders>
              <w:top w:val="single" w:color="000000" w:sz="4" w:space="0"/>
              <w:left w:val="single" w:color="000000" w:sz="4" w:space="0"/>
              <w:bottom w:val="nil"/>
              <w:right w:val="single" w:color="000000" w:sz="4" w:space="0"/>
            </w:tcBorders>
            <w:shd w:val="clear" w:color="auto" w:fill="auto"/>
            <w:vAlign w:val="center"/>
          </w:tcPr>
          <w:p w14:paraId="4E319C5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数量指标</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5C9E9B7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办公费支出次数</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0AAEA22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正向</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20264F4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216524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5BAD727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6D12832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C190B9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12.5</w:t>
            </w:r>
          </w:p>
        </w:tc>
        <w:tc>
          <w:tcPr>
            <w:tcW w:w="419" w:type="pct"/>
            <w:tcBorders>
              <w:top w:val="single" w:color="000000" w:sz="4" w:space="0"/>
              <w:left w:val="single" w:color="000000" w:sz="4" w:space="0"/>
              <w:bottom w:val="nil"/>
              <w:right w:val="single" w:color="000000" w:sz="4" w:space="0"/>
            </w:tcBorders>
            <w:shd w:val="clear" w:color="auto" w:fill="auto"/>
            <w:vAlign w:val="center"/>
          </w:tcPr>
          <w:p w14:paraId="5871E1B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12.5</w:t>
            </w:r>
          </w:p>
        </w:tc>
        <w:tc>
          <w:tcPr>
            <w:tcW w:w="435" w:type="pct"/>
            <w:tcBorders>
              <w:top w:val="single" w:color="000000" w:sz="4" w:space="0"/>
              <w:left w:val="single" w:color="000000" w:sz="4" w:space="0"/>
              <w:bottom w:val="nil"/>
              <w:right w:val="single" w:color="000000" w:sz="4" w:space="0"/>
            </w:tcBorders>
            <w:shd w:val="clear" w:color="auto" w:fill="auto"/>
            <w:vAlign w:val="center"/>
          </w:tcPr>
          <w:p w14:paraId="76ED0A4C">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r>
      <w:tr w14:paraId="5C0AD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64632F8C">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14:paraId="3E864D89">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34" w:type="pct"/>
            <w:tcBorders>
              <w:top w:val="single" w:color="000000" w:sz="4" w:space="0"/>
              <w:left w:val="single" w:color="000000" w:sz="4" w:space="0"/>
              <w:bottom w:val="nil"/>
              <w:right w:val="single" w:color="000000" w:sz="4" w:space="0"/>
            </w:tcBorders>
            <w:shd w:val="clear" w:color="auto" w:fill="auto"/>
            <w:vAlign w:val="center"/>
          </w:tcPr>
          <w:p w14:paraId="1E4AB82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质量指标</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7530767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资金及时支付率</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3068BB5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正向</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2D4565B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0CB040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10B98A6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711C82C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百分比</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BB0B1D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12.5</w:t>
            </w:r>
          </w:p>
        </w:tc>
        <w:tc>
          <w:tcPr>
            <w:tcW w:w="419" w:type="pct"/>
            <w:tcBorders>
              <w:top w:val="single" w:color="000000" w:sz="4" w:space="0"/>
              <w:left w:val="single" w:color="000000" w:sz="4" w:space="0"/>
              <w:bottom w:val="nil"/>
              <w:right w:val="single" w:color="000000" w:sz="4" w:space="0"/>
            </w:tcBorders>
            <w:shd w:val="clear" w:color="auto" w:fill="auto"/>
            <w:vAlign w:val="center"/>
          </w:tcPr>
          <w:p w14:paraId="6ABB5C1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12.5</w:t>
            </w:r>
          </w:p>
        </w:tc>
        <w:tc>
          <w:tcPr>
            <w:tcW w:w="435" w:type="pct"/>
            <w:tcBorders>
              <w:top w:val="single" w:color="000000" w:sz="4" w:space="0"/>
              <w:left w:val="single" w:color="000000" w:sz="4" w:space="0"/>
              <w:bottom w:val="nil"/>
              <w:right w:val="single" w:color="000000" w:sz="4" w:space="0"/>
            </w:tcBorders>
            <w:shd w:val="clear" w:color="auto" w:fill="auto"/>
            <w:vAlign w:val="center"/>
          </w:tcPr>
          <w:p w14:paraId="777CB859">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r>
      <w:tr w14:paraId="50FDA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603DCAA4">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14:paraId="32E8D0D8">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34" w:type="pct"/>
            <w:tcBorders>
              <w:top w:val="single" w:color="000000" w:sz="4" w:space="0"/>
              <w:left w:val="single" w:color="000000" w:sz="4" w:space="0"/>
              <w:bottom w:val="nil"/>
              <w:right w:val="single" w:color="000000" w:sz="4" w:space="0"/>
            </w:tcBorders>
            <w:shd w:val="clear" w:color="auto" w:fill="auto"/>
            <w:vAlign w:val="center"/>
          </w:tcPr>
          <w:p w14:paraId="4C06349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时效指标</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6364564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项目完成时间</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414E47A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正向</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61015A8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35AD1E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365</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00C37C9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365</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17082D1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天</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FFF6DC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12.5</w:t>
            </w:r>
          </w:p>
        </w:tc>
        <w:tc>
          <w:tcPr>
            <w:tcW w:w="419" w:type="pct"/>
            <w:tcBorders>
              <w:top w:val="single" w:color="000000" w:sz="4" w:space="0"/>
              <w:left w:val="single" w:color="000000" w:sz="4" w:space="0"/>
              <w:bottom w:val="nil"/>
              <w:right w:val="single" w:color="000000" w:sz="4" w:space="0"/>
            </w:tcBorders>
            <w:shd w:val="clear" w:color="auto" w:fill="auto"/>
            <w:vAlign w:val="center"/>
          </w:tcPr>
          <w:p w14:paraId="3504AF7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12.5</w:t>
            </w:r>
          </w:p>
        </w:tc>
        <w:tc>
          <w:tcPr>
            <w:tcW w:w="435" w:type="pct"/>
            <w:tcBorders>
              <w:top w:val="single" w:color="000000" w:sz="4" w:space="0"/>
              <w:left w:val="single" w:color="000000" w:sz="4" w:space="0"/>
              <w:bottom w:val="nil"/>
              <w:right w:val="single" w:color="000000" w:sz="4" w:space="0"/>
            </w:tcBorders>
            <w:shd w:val="clear" w:color="auto" w:fill="auto"/>
            <w:vAlign w:val="center"/>
          </w:tcPr>
          <w:p w14:paraId="0D192634">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r>
      <w:tr w14:paraId="68B41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34122179">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14:paraId="205FA3B4">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34" w:type="pct"/>
            <w:tcBorders>
              <w:top w:val="single" w:color="000000" w:sz="4" w:space="0"/>
              <w:left w:val="single" w:color="000000" w:sz="4" w:space="0"/>
              <w:bottom w:val="nil"/>
              <w:right w:val="single" w:color="000000" w:sz="4" w:space="0"/>
            </w:tcBorders>
            <w:shd w:val="clear" w:color="auto" w:fill="auto"/>
            <w:vAlign w:val="center"/>
          </w:tcPr>
          <w:p w14:paraId="2C855A6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成本指标</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6267830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项目总金额</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786FB13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反向</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7CCDA88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5FCBA4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0433033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71475E0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万元</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3A9C45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12.5</w:t>
            </w:r>
          </w:p>
        </w:tc>
        <w:tc>
          <w:tcPr>
            <w:tcW w:w="419" w:type="pct"/>
            <w:tcBorders>
              <w:top w:val="single" w:color="000000" w:sz="4" w:space="0"/>
              <w:left w:val="single" w:color="000000" w:sz="4" w:space="0"/>
              <w:bottom w:val="nil"/>
              <w:right w:val="single" w:color="000000" w:sz="4" w:space="0"/>
            </w:tcBorders>
            <w:shd w:val="clear" w:color="auto" w:fill="auto"/>
            <w:vAlign w:val="center"/>
          </w:tcPr>
          <w:p w14:paraId="007EA5C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12.5</w:t>
            </w:r>
          </w:p>
        </w:tc>
        <w:tc>
          <w:tcPr>
            <w:tcW w:w="435" w:type="pct"/>
            <w:tcBorders>
              <w:top w:val="single" w:color="000000" w:sz="4" w:space="0"/>
              <w:left w:val="single" w:color="000000" w:sz="4" w:space="0"/>
              <w:bottom w:val="nil"/>
              <w:right w:val="single" w:color="000000" w:sz="4" w:space="0"/>
            </w:tcBorders>
            <w:shd w:val="clear" w:color="auto" w:fill="auto"/>
            <w:vAlign w:val="center"/>
          </w:tcPr>
          <w:p w14:paraId="7A992CC5">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r>
      <w:tr w14:paraId="63FE7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28FF652A">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36" w:type="pct"/>
            <w:tcBorders>
              <w:top w:val="single" w:color="000000" w:sz="4" w:space="0"/>
              <w:left w:val="single" w:color="000000" w:sz="4" w:space="0"/>
              <w:bottom w:val="nil"/>
              <w:right w:val="single" w:color="000000" w:sz="4" w:space="0"/>
            </w:tcBorders>
            <w:shd w:val="clear" w:color="auto" w:fill="auto"/>
            <w:vAlign w:val="center"/>
          </w:tcPr>
          <w:p w14:paraId="6C9C5D3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效益指标</w:t>
            </w:r>
          </w:p>
        </w:tc>
        <w:tc>
          <w:tcPr>
            <w:tcW w:w="434" w:type="pct"/>
            <w:tcBorders>
              <w:top w:val="single" w:color="000000" w:sz="4" w:space="0"/>
              <w:left w:val="single" w:color="000000" w:sz="4" w:space="0"/>
              <w:bottom w:val="nil"/>
              <w:right w:val="single" w:color="000000" w:sz="4" w:space="0"/>
            </w:tcBorders>
            <w:shd w:val="clear" w:color="auto" w:fill="auto"/>
            <w:vAlign w:val="center"/>
          </w:tcPr>
          <w:p w14:paraId="307CCCF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社会效益</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2902107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提高政府公信力</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16269C6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定性</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495B52D5">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3D4C11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提高</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49F495E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提高</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51D4F482">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85E5E5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419" w:type="pct"/>
            <w:tcBorders>
              <w:top w:val="single" w:color="000000" w:sz="4" w:space="0"/>
              <w:left w:val="single" w:color="000000" w:sz="4" w:space="0"/>
              <w:bottom w:val="nil"/>
              <w:right w:val="single" w:color="000000" w:sz="4" w:space="0"/>
            </w:tcBorders>
            <w:shd w:val="clear" w:color="auto" w:fill="auto"/>
            <w:vAlign w:val="center"/>
          </w:tcPr>
          <w:p w14:paraId="7ECBD4C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435" w:type="pct"/>
            <w:tcBorders>
              <w:top w:val="single" w:color="000000" w:sz="4" w:space="0"/>
              <w:left w:val="single" w:color="000000" w:sz="4" w:space="0"/>
              <w:bottom w:val="nil"/>
              <w:right w:val="single" w:color="000000" w:sz="4" w:space="0"/>
            </w:tcBorders>
            <w:shd w:val="clear" w:color="auto" w:fill="auto"/>
            <w:vAlign w:val="center"/>
          </w:tcPr>
          <w:p w14:paraId="3DB702B7">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r>
      <w:tr w14:paraId="5F7EE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6519A8E6">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36" w:type="pct"/>
            <w:tcBorders>
              <w:top w:val="single" w:color="000000" w:sz="4" w:space="0"/>
              <w:left w:val="single" w:color="000000" w:sz="4" w:space="0"/>
              <w:bottom w:val="nil"/>
              <w:right w:val="single" w:color="000000" w:sz="4" w:space="0"/>
            </w:tcBorders>
            <w:shd w:val="clear" w:color="auto" w:fill="auto"/>
            <w:vAlign w:val="center"/>
          </w:tcPr>
          <w:p w14:paraId="1340E10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满意度指标</w:t>
            </w:r>
          </w:p>
        </w:tc>
        <w:tc>
          <w:tcPr>
            <w:tcW w:w="434" w:type="pct"/>
            <w:tcBorders>
              <w:top w:val="single" w:color="000000" w:sz="4" w:space="0"/>
              <w:left w:val="single" w:color="000000" w:sz="4" w:space="0"/>
              <w:bottom w:val="nil"/>
              <w:right w:val="single" w:color="000000" w:sz="4" w:space="0"/>
            </w:tcBorders>
            <w:shd w:val="clear" w:color="auto" w:fill="auto"/>
            <w:vAlign w:val="center"/>
          </w:tcPr>
          <w:p w14:paraId="3D2C9D7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服务对象满意度</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09A5C3F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支付对象满意度</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1694A36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定性</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64FA550F">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6903B7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满意</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2B92874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满意</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37AE83B4">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A41AD3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419" w:type="pct"/>
            <w:tcBorders>
              <w:top w:val="single" w:color="000000" w:sz="4" w:space="0"/>
              <w:left w:val="single" w:color="000000" w:sz="4" w:space="0"/>
              <w:bottom w:val="nil"/>
              <w:right w:val="single" w:color="000000" w:sz="4" w:space="0"/>
            </w:tcBorders>
            <w:shd w:val="clear" w:color="auto" w:fill="auto"/>
            <w:vAlign w:val="center"/>
          </w:tcPr>
          <w:p w14:paraId="475AE3F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435" w:type="pct"/>
            <w:tcBorders>
              <w:top w:val="single" w:color="000000" w:sz="4" w:space="0"/>
              <w:left w:val="single" w:color="000000" w:sz="4" w:space="0"/>
              <w:bottom w:val="nil"/>
              <w:right w:val="single" w:color="000000" w:sz="4" w:space="0"/>
            </w:tcBorders>
            <w:shd w:val="clear" w:color="auto" w:fill="auto"/>
            <w:vAlign w:val="center"/>
          </w:tcPr>
          <w:p w14:paraId="1792DC80">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r>
      <w:tr w14:paraId="32234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374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DE48FA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总分</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30E0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2F66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100.0</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EB2C3">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r>
      <w:tr w14:paraId="2EB61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2B1CD7E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bCs/>
                <w:i w:val="0"/>
                <w:iCs w:val="0"/>
                <w:color w:val="auto"/>
                <w:sz w:val="40"/>
                <w:szCs w:val="40"/>
                <w:u w:val="none"/>
              </w:rPr>
            </w:pPr>
            <w:r>
              <w:rPr>
                <w:rFonts w:hint="eastAsia" w:ascii="宋体" w:hAnsi="宋体" w:eastAsia="宋体" w:cs="宋体"/>
                <w:b/>
                <w:bCs/>
                <w:i w:val="0"/>
                <w:iCs w:val="0"/>
                <w:color w:val="auto"/>
                <w:kern w:val="0"/>
                <w:sz w:val="40"/>
                <w:szCs w:val="40"/>
                <w:u w:val="none"/>
                <w:lang w:val="en-US" w:eastAsia="zh-CN" w:bidi="ar"/>
              </w:rPr>
              <w:t>项目支出绩效自评表</w:t>
            </w:r>
            <w:r>
              <w:rPr>
                <w:rFonts w:hint="eastAsia" w:ascii="宋体" w:hAnsi="宋体" w:eastAsia="宋体" w:cs="宋体"/>
                <w:b/>
                <w:bCs/>
                <w:i w:val="0"/>
                <w:iCs w:val="0"/>
                <w:color w:val="auto"/>
                <w:kern w:val="0"/>
                <w:sz w:val="40"/>
                <w:szCs w:val="40"/>
                <w:u w:val="none"/>
                <w:lang w:val="en-US" w:eastAsia="zh-CN" w:bidi="ar"/>
              </w:rPr>
              <w:br w:type="textWrapping"/>
            </w:r>
            <w:r>
              <w:rPr>
                <w:rFonts w:hint="eastAsia" w:ascii="宋体" w:hAnsi="宋体" w:eastAsia="宋体" w:cs="宋体"/>
                <w:b/>
                <w:bCs/>
                <w:i w:val="0"/>
                <w:iCs w:val="0"/>
                <w:color w:val="auto"/>
                <w:kern w:val="0"/>
                <w:sz w:val="40"/>
                <w:szCs w:val="40"/>
                <w:u w:val="none"/>
                <w:lang w:val="en-US" w:eastAsia="zh-CN" w:bidi="ar"/>
              </w:rPr>
              <w:t>(2023年度）</w:t>
            </w:r>
          </w:p>
        </w:tc>
      </w:tr>
      <w:tr w14:paraId="431EF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8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57DB36">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项目名称</w:t>
            </w:r>
          </w:p>
        </w:tc>
        <w:tc>
          <w:tcPr>
            <w:tcW w:w="412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A3BB1A7">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2022年农牧业转移人口市民化奖励资金</w:t>
            </w:r>
          </w:p>
        </w:tc>
      </w:tr>
      <w:tr w14:paraId="39327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8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EBE4F1">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主管部门</w:t>
            </w:r>
          </w:p>
        </w:tc>
        <w:tc>
          <w:tcPr>
            <w:tcW w:w="164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16675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乌拉特后旗人力资源和社会保障局（部门）</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A2D649">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实施单位</w:t>
            </w:r>
          </w:p>
        </w:tc>
        <w:tc>
          <w:tcPr>
            <w:tcW w:w="16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1D1571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乌拉特后旗社会保险事业服务中心</w:t>
            </w:r>
          </w:p>
        </w:tc>
      </w:tr>
      <w:tr w14:paraId="3031E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87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44295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项目资金</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（万元）</w:t>
            </w: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1F5AA">
            <w:pPr>
              <w:keepNext w:val="0"/>
              <w:keepLines w:val="0"/>
              <w:pageBreakBefore w:val="0"/>
              <w:kinsoku/>
              <w:wordWrap/>
              <w:overflowPunct/>
              <w:topLinePunct w:val="0"/>
              <w:autoSpaceDE/>
              <w:autoSpaceDN/>
              <w:bidi w:val="0"/>
              <w:adjustRightInd/>
              <w:snapToGrid/>
              <w:spacing w:line="560" w:lineRule="exact"/>
              <w:rPr>
                <w:rFonts w:hint="eastAsia" w:ascii="宋体" w:hAnsi="宋体" w:eastAsia="宋体" w:cs="宋体"/>
                <w:i w:val="0"/>
                <w:iCs w:val="0"/>
                <w:color w:val="auto"/>
                <w:sz w:val="18"/>
                <w:szCs w:val="18"/>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5B59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年初预算数</w:t>
            </w:r>
          </w:p>
        </w:tc>
        <w:tc>
          <w:tcPr>
            <w:tcW w:w="81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D04B3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全年预算数</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73BA0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全年执行数</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C9E6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分值</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D8F7E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执行率（%）</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F9F0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得分</w:t>
            </w:r>
          </w:p>
        </w:tc>
      </w:tr>
      <w:tr w14:paraId="74017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87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CEB18">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31BA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年度资金总额</w:t>
            </w: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511F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81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8FAC7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F58AD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2.99</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EC63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61384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99.67</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194E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9.97</w:t>
            </w:r>
          </w:p>
        </w:tc>
      </w:tr>
      <w:tr w14:paraId="7C518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87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8169A">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5FDB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其中：财政拨款</w:t>
            </w: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08097">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81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BA324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953FD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2.99</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0E97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Arial" w:hAnsi="Arial" w:eastAsia="宋体" w:cs="Arial"/>
                <w:i w:val="0"/>
                <w:iCs w:val="0"/>
                <w:color w:val="auto"/>
                <w:sz w:val="19"/>
                <w:szCs w:val="19"/>
                <w:u w:val="none"/>
              </w:rPr>
            </w:pPr>
            <w:r>
              <w:rPr>
                <w:rFonts w:hint="default" w:ascii="Arial" w:hAnsi="Arial" w:eastAsia="宋体" w:cs="Arial"/>
                <w:i w:val="0"/>
                <w:iCs w:val="0"/>
                <w:color w:val="auto"/>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9122B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99.67</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539B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Arial" w:hAnsi="Arial" w:eastAsia="宋体" w:cs="Arial"/>
                <w:i w:val="0"/>
                <w:iCs w:val="0"/>
                <w:color w:val="auto"/>
                <w:sz w:val="19"/>
                <w:szCs w:val="19"/>
                <w:u w:val="none"/>
              </w:rPr>
            </w:pPr>
            <w:r>
              <w:rPr>
                <w:rFonts w:hint="default" w:ascii="Arial" w:hAnsi="Arial" w:eastAsia="宋体" w:cs="Arial"/>
                <w:i w:val="0"/>
                <w:iCs w:val="0"/>
                <w:color w:val="auto"/>
                <w:kern w:val="0"/>
                <w:sz w:val="19"/>
                <w:szCs w:val="19"/>
                <w:u w:val="none"/>
                <w:lang w:val="en-US" w:eastAsia="zh-CN" w:bidi="ar"/>
              </w:rPr>
              <w:t>——</w:t>
            </w:r>
          </w:p>
        </w:tc>
      </w:tr>
      <w:tr w14:paraId="5167B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87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AB031">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F206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上年结转资金</w:t>
            </w: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B334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81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5B6E3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0CDB8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B35A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Arial" w:hAnsi="Arial" w:eastAsia="宋体" w:cs="Arial"/>
                <w:i w:val="0"/>
                <w:iCs w:val="0"/>
                <w:color w:val="auto"/>
                <w:sz w:val="19"/>
                <w:szCs w:val="19"/>
                <w:u w:val="none"/>
              </w:rPr>
            </w:pPr>
            <w:r>
              <w:rPr>
                <w:rFonts w:hint="default" w:ascii="Arial" w:hAnsi="Arial" w:eastAsia="宋体" w:cs="Arial"/>
                <w:i w:val="0"/>
                <w:iCs w:val="0"/>
                <w:color w:val="auto"/>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9EEF6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1D19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Arial" w:hAnsi="Arial" w:eastAsia="宋体" w:cs="Arial"/>
                <w:i w:val="0"/>
                <w:iCs w:val="0"/>
                <w:color w:val="auto"/>
                <w:sz w:val="19"/>
                <w:szCs w:val="19"/>
                <w:u w:val="none"/>
              </w:rPr>
            </w:pPr>
            <w:r>
              <w:rPr>
                <w:rFonts w:hint="default" w:ascii="Arial" w:hAnsi="Arial" w:eastAsia="宋体" w:cs="Arial"/>
                <w:i w:val="0"/>
                <w:iCs w:val="0"/>
                <w:color w:val="auto"/>
                <w:kern w:val="0"/>
                <w:sz w:val="19"/>
                <w:szCs w:val="19"/>
                <w:u w:val="none"/>
                <w:lang w:val="en-US" w:eastAsia="zh-CN" w:bidi="ar"/>
              </w:rPr>
              <w:t>——</w:t>
            </w:r>
          </w:p>
        </w:tc>
      </w:tr>
      <w:tr w14:paraId="1318E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87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3A545">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868B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其他资金</w:t>
            </w: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1786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81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D6849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5E030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AAA8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Arial" w:hAnsi="Arial" w:eastAsia="宋体" w:cs="Arial"/>
                <w:i w:val="0"/>
                <w:iCs w:val="0"/>
                <w:color w:val="auto"/>
                <w:sz w:val="19"/>
                <w:szCs w:val="19"/>
                <w:u w:val="none"/>
              </w:rPr>
            </w:pPr>
            <w:r>
              <w:rPr>
                <w:rFonts w:hint="default" w:ascii="Arial" w:hAnsi="Arial" w:eastAsia="宋体" w:cs="Arial"/>
                <w:i w:val="0"/>
                <w:iCs w:val="0"/>
                <w:color w:val="auto"/>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43A1F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EBCB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Arial" w:hAnsi="Arial" w:eastAsia="宋体" w:cs="Arial"/>
                <w:i w:val="0"/>
                <w:iCs w:val="0"/>
                <w:color w:val="auto"/>
                <w:sz w:val="19"/>
                <w:szCs w:val="19"/>
                <w:u w:val="none"/>
              </w:rPr>
            </w:pPr>
            <w:r>
              <w:rPr>
                <w:rFonts w:hint="default" w:ascii="Arial" w:hAnsi="Arial" w:eastAsia="宋体" w:cs="Arial"/>
                <w:i w:val="0"/>
                <w:iCs w:val="0"/>
                <w:color w:val="auto"/>
                <w:kern w:val="0"/>
                <w:sz w:val="19"/>
                <w:szCs w:val="19"/>
                <w:u w:val="none"/>
                <w:lang w:val="en-US" w:eastAsia="zh-CN" w:bidi="ar"/>
              </w:rPr>
              <w:t>——</w:t>
            </w:r>
          </w:p>
        </w:tc>
      </w:tr>
      <w:tr w14:paraId="3936E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87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B46D8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年度总体目标</w:t>
            </w:r>
          </w:p>
        </w:tc>
        <w:tc>
          <w:tcPr>
            <w:tcW w:w="205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E4573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预期目标</w:t>
            </w:r>
          </w:p>
        </w:tc>
        <w:tc>
          <w:tcPr>
            <w:tcW w:w="207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2574A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实际完成情况</w:t>
            </w:r>
          </w:p>
        </w:tc>
      </w:tr>
      <w:tr w14:paraId="6F9B7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87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C6C76">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205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FF78C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为保障单位正常运转，2022年农牧业转移人口市民化奖励资金30000元。</w:t>
            </w:r>
          </w:p>
        </w:tc>
        <w:tc>
          <w:tcPr>
            <w:tcW w:w="207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F3AD5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2023年底，我中心积极配合调整，保障单位正常运行，已全部完成。</w:t>
            </w:r>
          </w:p>
        </w:tc>
      </w:tr>
      <w:tr w14:paraId="4348E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B39F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绩效指标</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46B8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一级指标</w:t>
            </w: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D136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二级指标</w:t>
            </w: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A50E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三级指标</w:t>
            </w: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C968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指标性质</w:t>
            </w: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9B51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指标方向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2E5F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年度指标值</w:t>
            </w: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871E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实际完成值</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EEA6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计量单位</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0176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分值</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AB1B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得分</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4613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偏差原因分析及改进措施</w:t>
            </w:r>
          </w:p>
        </w:tc>
      </w:tr>
      <w:tr w14:paraId="3BE64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434" w:type="pct"/>
            <w:vMerge w:val="restart"/>
            <w:tcBorders>
              <w:top w:val="single" w:color="000000" w:sz="4" w:space="0"/>
              <w:left w:val="single" w:color="000000" w:sz="4" w:space="0"/>
              <w:bottom w:val="nil"/>
              <w:right w:val="single" w:color="000000" w:sz="4" w:space="0"/>
            </w:tcBorders>
            <w:shd w:val="clear" w:color="auto" w:fill="auto"/>
            <w:vAlign w:val="center"/>
          </w:tcPr>
          <w:p w14:paraId="798C32C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绩效指标</w:t>
            </w: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14:paraId="386F349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产出指标</w:t>
            </w:r>
          </w:p>
        </w:tc>
        <w:tc>
          <w:tcPr>
            <w:tcW w:w="434" w:type="pct"/>
            <w:vMerge w:val="restart"/>
            <w:tcBorders>
              <w:top w:val="single" w:color="000000" w:sz="4" w:space="0"/>
              <w:left w:val="single" w:color="000000" w:sz="4" w:space="0"/>
              <w:bottom w:val="nil"/>
              <w:right w:val="single" w:color="000000" w:sz="4" w:space="0"/>
            </w:tcBorders>
            <w:shd w:val="clear" w:color="auto" w:fill="auto"/>
            <w:vAlign w:val="center"/>
          </w:tcPr>
          <w:p w14:paraId="1E137A7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数量指标</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301F335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支付办公费次数</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5E257D6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正向</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0DFAE99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22577C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5F3869D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1E0E99D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6E1239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7.5</w:t>
            </w:r>
          </w:p>
        </w:tc>
        <w:tc>
          <w:tcPr>
            <w:tcW w:w="419" w:type="pct"/>
            <w:tcBorders>
              <w:top w:val="single" w:color="000000" w:sz="4" w:space="0"/>
              <w:left w:val="single" w:color="000000" w:sz="4" w:space="0"/>
              <w:bottom w:val="nil"/>
              <w:right w:val="single" w:color="000000" w:sz="4" w:space="0"/>
            </w:tcBorders>
            <w:shd w:val="clear" w:color="auto" w:fill="auto"/>
            <w:vAlign w:val="center"/>
          </w:tcPr>
          <w:p w14:paraId="0919C84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7.5</w:t>
            </w:r>
          </w:p>
        </w:tc>
        <w:tc>
          <w:tcPr>
            <w:tcW w:w="435" w:type="pct"/>
            <w:tcBorders>
              <w:top w:val="single" w:color="000000" w:sz="4" w:space="0"/>
              <w:left w:val="single" w:color="000000" w:sz="4" w:space="0"/>
              <w:bottom w:val="nil"/>
              <w:right w:val="single" w:color="000000" w:sz="4" w:space="0"/>
            </w:tcBorders>
            <w:shd w:val="clear" w:color="auto" w:fill="auto"/>
            <w:vAlign w:val="center"/>
          </w:tcPr>
          <w:p w14:paraId="6D777247">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r>
      <w:tr w14:paraId="75E87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06ACD4C7">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14:paraId="7F22C70A">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304E29FE">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02" w:type="pct"/>
            <w:tcBorders>
              <w:top w:val="single" w:color="000000" w:sz="4" w:space="0"/>
              <w:left w:val="single" w:color="000000" w:sz="4" w:space="0"/>
              <w:bottom w:val="nil"/>
              <w:right w:val="single" w:color="000000" w:sz="4" w:space="0"/>
            </w:tcBorders>
            <w:shd w:val="clear" w:color="auto" w:fill="auto"/>
            <w:vAlign w:val="center"/>
          </w:tcPr>
          <w:p w14:paraId="498FAA3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支付旅差次数</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4C4A1BE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正向</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28481B5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C9C865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2E9FC18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1E691B8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B66668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7.5</w:t>
            </w:r>
          </w:p>
        </w:tc>
        <w:tc>
          <w:tcPr>
            <w:tcW w:w="419" w:type="pct"/>
            <w:tcBorders>
              <w:top w:val="single" w:color="000000" w:sz="4" w:space="0"/>
              <w:left w:val="single" w:color="000000" w:sz="4" w:space="0"/>
              <w:bottom w:val="nil"/>
              <w:right w:val="single" w:color="000000" w:sz="4" w:space="0"/>
            </w:tcBorders>
            <w:shd w:val="clear" w:color="auto" w:fill="auto"/>
            <w:vAlign w:val="center"/>
          </w:tcPr>
          <w:p w14:paraId="09607CB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7.5</w:t>
            </w:r>
          </w:p>
        </w:tc>
        <w:tc>
          <w:tcPr>
            <w:tcW w:w="435" w:type="pct"/>
            <w:tcBorders>
              <w:top w:val="single" w:color="000000" w:sz="4" w:space="0"/>
              <w:left w:val="single" w:color="000000" w:sz="4" w:space="0"/>
              <w:bottom w:val="nil"/>
              <w:right w:val="single" w:color="000000" w:sz="4" w:space="0"/>
            </w:tcBorders>
            <w:shd w:val="clear" w:color="auto" w:fill="auto"/>
            <w:vAlign w:val="center"/>
          </w:tcPr>
          <w:p w14:paraId="48562084">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r>
      <w:tr w14:paraId="79550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4935C4D9">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14:paraId="1ED5AB53">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34" w:type="pct"/>
            <w:vMerge w:val="restart"/>
            <w:tcBorders>
              <w:top w:val="single" w:color="000000" w:sz="4" w:space="0"/>
              <w:left w:val="single" w:color="000000" w:sz="4" w:space="0"/>
              <w:bottom w:val="nil"/>
              <w:right w:val="single" w:color="000000" w:sz="4" w:space="0"/>
            </w:tcBorders>
            <w:shd w:val="clear" w:color="auto" w:fill="auto"/>
            <w:vAlign w:val="center"/>
          </w:tcPr>
          <w:p w14:paraId="2871C69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质量指标</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1F3E588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资金到位及时率</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544F1EF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正向</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38CAD25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E83DD0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1A30000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09BD142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042097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7.5</w:t>
            </w:r>
          </w:p>
        </w:tc>
        <w:tc>
          <w:tcPr>
            <w:tcW w:w="419" w:type="pct"/>
            <w:tcBorders>
              <w:top w:val="single" w:color="000000" w:sz="4" w:space="0"/>
              <w:left w:val="single" w:color="000000" w:sz="4" w:space="0"/>
              <w:bottom w:val="nil"/>
              <w:right w:val="single" w:color="000000" w:sz="4" w:space="0"/>
            </w:tcBorders>
            <w:shd w:val="clear" w:color="auto" w:fill="auto"/>
            <w:vAlign w:val="center"/>
          </w:tcPr>
          <w:p w14:paraId="21B511B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7.5</w:t>
            </w:r>
          </w:p>
        </w:tc>
        <w:tc>
          <w:tcPr>
            <w:tcW w:w="435" w:type="pct"/>
            <w:tcBorders>
              <w:top w:val="single" w:color="000000" w:sz="4" w:space="0"/>
              <w:left w:val="single" w:color="000000" w:sz="4" w:space="0"/>
              <w:bottom w:val="nil"/>
              <w:right w:val="single" w:color="000000" w:sz="4" w:space="0"/>
            </w:tcBorders>
            <w:shd w:val="clear" w:color="auto" w:fill="auto"/>
            <w:vAlign w:val="center"/>
          </w:tcPr>
          <w:p w14:paraId="2BC2BC3D">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r>
      <w:tr w14:paraId="5C1E0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63FB2521">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14:paraId="26A3E548">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550675EF">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02" w:type="pct"/>
            <w:tcBorders>
              <w:top w:val="single" w:color="000000" w:sz="4" w:space="0"/>
              <w:left w:val="single" w:color="000000" w:sz="4" w:space="0"/>
              <w:bottom w:val="nil"/>
              <w:right w:val="single" w:color="000000" w:sz="4" w:space="0"/>
            </w:tcBorders>
            <w:shd w:val="clear" w:color="auto" w:fill="auto"/>
            <w:vAlign w:val="center"/>
          </w:tcPr>
          <w:p w14:paraId="7E27F21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资金支付准确率</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5A2C53C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正向</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2AD064C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3A01AB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20611B9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518580A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6A8A9C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7.5</w:t>
            </w:r>
          </w:p>
        </w:tc>
        <w:tc>
          <w:tcPr>
            <w:tcW w:w="419" w:type="pct"/>
            <w:tcBorders>
              <w:top w:val="single" w:color="000000" w:sz="4" w:space="0"/>
              <w:left w:val="single" w:color="000000" w:sz="4" w:space="0"/>
              <w:bottom w:val="nil"/>
              <w:right w:val="single" w:color="000000" w:sz="4" w:space="0"/>
            </w:tcBorders>
            <w:shd w:val="clear" w:color="auto" w:fill="auto"/>
            <w:vAlign w:val="center"/>
          </w:tcPr>
          <w:p w14:paraId="42368E9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7.5</w:t>
            </w:r>
          </w:p>
        </w:tc>
        <w:tc>
          <w:tcPr>
            <w:tcW w:w="435" w:type="pct"/>
            <w:tcBorders>
              <w:top w:val="single" w:color="000000" w:sz="4" w:space="0"/>
              <w:left w:val="single" w:color="000000" w:sz="4" w:space="0"/>
              <w:bottom w:val="nil"/>
              <w:right w:val="single" w:color="000000" w:sz="4" w:space="0"/>
            </w:tcBorders>
            <w:shd w:val="clear" w:color="auto" w:fill="auto"/>
            <w:vAlign w:val="center"/>
          </w:tcPr>
          <w:p w14:paraId="487E7C85">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r>
      <w:tr w14:paraId="646C9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716FD6E9">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14:paraId="4F4FB9C8">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34" w:type="pct"/>
            <w:vMerge w:val="restart"/>
            <w:tcBorders>
              <w:top w:val="single" w:color="000000" w:sz="4" w:space="0"/>
              <w:left w:val="single" w:color="000000" w:sz="4" w:space="0"/>
              <w:bottom w:val="nil"/>
              <w:right w:val="single" w:color="000000" w:sz="4" w:space="0"/>
            </w:tcBorders>
            <w:shd w:val="clear" w:color="auto" w:fill="auto"/>
            <w:vAlign w:val="center"/>
          </w:tcPr>
          <w:p w14:paraId="4A5CDDC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时效指标</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6DCE487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项目完成时间</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6EBF46D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正向</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3008533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7E51BB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365</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528507D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365</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564BB9D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天</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14734A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14:paraId="29C1AF9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435" w:type="pct"/>
            <w:tcBorders>
              <w:top w:val="single" w:color="000000" w:sz="4" w:space="0"/>
              <w:left w:val="single" w:color="000000" w:sz="4" w:space="0"/>
              <w:bottom w:val="nil"/>
              <w:right w:val="single" w:color="000000" w:sz="4" w:space="0"/>
            </w:tcBorders>
            <w:shd w:val="clear" w:color="auto" w:fill="auto"/>
            <w:vAlign w:val="center"/>
          </w:tcPr>
          <w:p w14:paraId="17122DE9">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r>
      <w:tr w14:paraId="5F414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65F8D666">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14:paraId="3EF3FD16">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13E9F8C2">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02" w:type="pct"/>
            <w:tcBorders>
              <w:top w:val="single" w:color="000000" w:sz="4" w:space="0"/>
              <w:left w:val="single" w:color="000000" w:sz="4" w:space="0"/>
              <w:bottom w:val="nil"/>
              <w:right w:val="single" w:color="000000" w:sz="4" w:space="0"/>
            </w:tcBorders>
            <w:shd w:val="clear" w:color="auto" w:fill="auto"/>
            <w:vAlign w:val="center"/>
          </w:tcPr>
          <w:p w14:paraId="52CC117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项目支付及时率</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76D48BD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正向</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6D2A742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E8D927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20E7687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087569C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58277A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14:paraId="25F7523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435" w:type="pct"/>
            <w:tcBorders>
              <w:top w:val="single" w:color="000000" w:sz="4" w:space="0"/>
              <w:left w:val="single" w:color="000000" w:sz="4" w:space="0"/>
              <w:bottom w:val="nil"/>
              <w:right w:val="single" w:color="000000" w:sz="4" w:space="0"/>
            </w:tcBorders>
            <w:shd w:val="clear" w:color="auto" w:fill="auto"/>
            <w:vAlign w:val="center"/>
          </w:tcPr>
          <w:p w14:paraId="68D664E3">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r>
      <w:tr w14:paraId="0126B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73B93EC8">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14:paraId="5D48D1AD">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34" w:type="pct"/>
            <w:vMerge w:val="restart"/>
            <w:tcBorders>
              <w:top w:val="single" w:color="000000" w:sz="4" w:space="0"/>
              <w:left w:val="single" w:color="000000" w:sz="4" w:space="0"/>
              <w:bottom w:val="nil"/>
              <w:right w:val="single" w:color="000000" w:sz="4" w:space="0"/>
            </w:tcBorders>
            <w:shd w:val="clear" w:color="auto" w:fill="auto"/>
            <w:vAlign w:val="center"/>
          </w:tcPr>
          <w:p w14:paraId="70A25E1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成本指标</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575D748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支付办公费金额</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3C584AC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反向</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242DCDF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D6E6A3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3835699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07BA8E0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万元</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6C37A0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14:paraId="48589E4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435" w:type="pct"/>
            <w:tcBorders>
              <w:top w:val="single" w:color="000000" w:sz="4" w:space="0"/>
              <w:left w:val="single" w:color="000000" w:sz="4" w:space="0"/>
              <w:bottom w:val="nil"/>
              <w:right w:val="single" w:color="000000" w:sz="4" w:space="0"/>
            </w:tcBorders>
            <w:shd w:val="clear" w:color="auto" w:fill="auto"/>
            <w:vAlign w:val="center"/>
          </w:tcPr>
          <w:p w14:paraId="084BE221">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r>
      <w:tr w14:paraId="53FE0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57D38BC1">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14:paraId="50E1BAC4">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1D54A1E3">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02" w:type="pct"/>
            <w:tcBorders>
              <w:top w:val="single" w:color="000000" w:sz="4" w:space="0"/>
              <w:left w:val="single" w:color="000000" w:sz="4" w:space="0"/>
              <w:bottom w:val="nil"/>
              <w:right w:val="single" w:color="000000" w:sz="4" w:space="0"/>
            </w:tcBorders>
            <w:shd w:val="clear" w:color="auto" w:fill="auto"/>
            <w:vAlign w:val="center"/>
          </w:tcPr>
          <w:p w14:paraId="13F2555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支付差旅费金额</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6F14302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反向</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6C6E2FF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9D8E1A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1533737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0.99</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16B549A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万元</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C12506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14:paraId="0A45D82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435" w:type="pct"/>
            <w:tcBorders>
              <w:top w:val="single" w:color="000000" w:sz="4" w:space="0"/>
              <w:left w:val="single" w:color="000000" w:sz="4" w:space="0"/>
              <w:bottom w:val="nil"/>
              <w:right w:val="single" w:color="000000" w:sz="4" w:space="0"/>
            </w:tcBorders>
            <w:shd w:val="clear" w:color="auto" w:fill="auto"/>
            <w:vAlign w:val="center"/>
          </w:tcPr>
          <w:p w14:paraId="5C895ACF">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r>
      <w:tr w14:paraId="1C405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706D7BEF">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14:paraId="0BE6723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效益指标</w:t>
            </w:r>
          </w:p>
        </w:tc>
        <w:tc>
          <w:tcPr>
            <w:tcW w:w="434" w:type="pct"/>
            <w:tcBorders>
              <w:top w:val="single" w:color="000000" w:sz="4" w:space="0"/>
              <w:left w:val="single" w:color="000000" w:sz="4" w:space="0"/>
              <w:bottom w:val="nil"/>
              <w:right w:val="single" w:color="000000" w:sz="4" w:space="0"/>
            </w:tcBorders>
            <w:shd w:val="clear" w:color="auto" w:fill="auto"/>
            <w:vAlign w:val="center"/>
          </w:tcPr>
          <w:p w14:paraId="3493833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社会效益</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629CB61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提高政府公信力</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3911332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定性</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429E5ABF">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0AAF08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提高</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130DF98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提高</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3BCD8B51">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3E89C3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w:t>
            </w:r>
          </w:p>
        </w:tc>
        <w:tc>
          <w:tcPr>
            <w:tcW w:w="419" w:type="pct"/>
            <w:tcBorders>
              <w:top w:val="single" w:color="000000" w:sz="4" w:space="0"/>
              <w:left w:val="single" w:color="000000" w:sz="4" w:space="0"/>
              <w:bottom w:val="nil"/>
              <w:right w:val="single" w:color="000000" w:sz="4" w:space="0"/>
            </w:tcBorders>
            <w:shd w:val="clear" w:color="auto" w:fill="auto"/>
            <w:vAlign w:val="center"/>
          </w:tcPr>
          <w:p w14:paraId="496A972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w:t>
            </w:r>
          </w:p>
        </w:tc>
        <w:tc>
          <w:tcPr>
            <w:tcW w:w="435" w:type="pct"/>
            <w:tcBorders>
              <w:top w:val="single" w:color="000000" w:sz="4" w:space="0"/>
              <w:left w:val="single" w:color="000000" w:sz="4" w:space="0"/>
              <w:bottom w:val="nil"/>
              <w:right w:val="single" w:color="000000" w:sz="4" w:space="0"/>
            </w:tcBorders>
            <w:shd w:val="clear" w:color="auto" w:fill="auto"/>
            <w:vAlign w:val="center"/>
          </w:tcPr>
          <w:p w14:paraId="6C3C0B70">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r>
      <w:tr w14:paraId="44553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6EB21A2C">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14:paraId="29C5FE2C">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34" w:type="pct"/>
            <w:tcBorders>
              <w:top w:val="single" w:color="000000" w:sz="4" w:space="0"/>
              <w:left w:val="single" w:color="000000" w:sz="4" w:space="0"/>
              <w:bottom w:val="nil"/>
              <w:right w:val="single" w:color="000000" w:sz="4" w:space="0"/>
            </w:tcBorders>
            <w:shd w:val="clear" w:color="auto" w:fill="auto"/>
            <w:vAlign w:val="center"/>
          </w:tcPr>
          <w:p w14:paraId="7DAE551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可持续影响</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0889B56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进一步完善制度体系设置</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6CEECBF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定性</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45DDED22">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2D7006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提高</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1CE265C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提高</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5F586800">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5289CB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w:t>
            </w:r>
          </w:p>
        </w:tc>
        <w:tc>
          <w:tcPr>
            <w:tcW w:w="419" w:type="pct"/>
            <w:tcBorders>
              <w:top w:val="single" w:color="000000" w:sz="4" w:space="0"/>
              <w:left w:val="single" w:color="000000" w:sz="4" w:space="0"/>
              <w:bottom w:val="nil"/>
              <w:right w:val="single" w:color="000000" w:sz="4" w:space="0"/>
            </w:tcBorders>
            <w:shd w:val="clear" w:color="auto" w:fill="auto"/>
            <w:vAlign w:val="center"/>
          </w:tcPr>
          <w:p w14:paraId="08C3FF9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w:t>
            </w:r>
          </w:p>
        </w:tc>
        <w:tc>
          <w:tcPr>
            <w:tcW w:w="435" w:type="pct"/>
            <w:tcBorders>
              <w:top w:val="single" w:color="000000" w:sz="4" w:space="0"/>
              <w:left w:val="single" w:color="000000" w:sz="4" w:space="0"/>
              <w:bottom w:val="nil"/>
              <w:right w:val="single" w:color="000000" w:sz="4" w:space="0"/>
            </w:tcBorders>
            <w:shd w:val="clear" w:color="auto" w:fill="auto"/>
            <w:vAlign w:val="center"/>
          </w:tcPr>
          <w:p w14:paraId="77739C7A">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r>
      <w:tr w14:paraId="54711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6FDDCEFC">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36" w:type="pct"/>
            <w:tcBorders>
              <w:top w:val="single" w:color="000000" w:sz="4" w:space="0"/>
              <w:left w:val="single" w:color="000000" w:sz="4" w:space="0"/>
              <w:bottom w:val="nil"/>
              <w:right w:val="single" w:color="000000" w:sz="4" w:space="0"/>
            </w:tcBorders>
            <w:shd w:val="clear" w:color="auto" w:fill="auto"/>
            <w:vAlign w:val="center"/>
          </w:tcPr>
          <w:p w14:paraId="39B2572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满意度指标</w:t>
            </w:r>
          </w:p>
        </w:tc>
        <w:tc>
          <w:tcPr>
            <w:tcW w:w="434" w:type="pct"/>
            <w:tcBorders>
              <w:top w:val="single" w:color="000000" w:sz="4" w:space="0"/>
              <w:left w:val="single" w:color="000000" w:sz="4" w:space="0"/>
              <w:bottom w:val="nil"/>
              <w:right w:val="single" w:color="000000" w:sz="4" w:space="0"/>
            </w:tcBorders>
            <w:shd w:val="clear" w:color="auto" w:fill="auto"/>
            <w:vAlign w:val="center"/>
          </w:tcPr>
          <w:p w14:paraId="5490000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服务对象满意度</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3986A40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补助对象满意度</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4306659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定性</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540CAA6F">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7BC5D6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满意</w:t>
            </w:r>
          </w:p>
        </w:tc>
        <w:tc>
          <w:tcPr>
            <w:tcW w:w="402" w:type="pct"/>
            <w:tcBorders>
              <w:top w:val="single" w:color="000000" w:sz="4" w:space="0"/>
              <w:left w:val="single" w:color="000000" w:sz="4" w:space="0"/>
              <w:bottom w:val="nil"/>
              <w:right w:val="single" w:color="000000" w:sz="4" w:space="0"/>
            </w:tcBorders>
            <w:shd w:val="clear" w:color="auto" w:fill="auto"/>
            <w:vAlign w:val="center"/>
          </w:tcPr>
          <w:p w14:paraId="323C4C0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满意</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1C5C0861">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FFA3F2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419" w:type="pct"/>
            <w:tcBorders>
              <w:top w:val="single" w:color="000000" w:sz="4" w:space="0"/>
              <w:left w:val="single" w:color="000000" w:sz="4" w:space="0"/>
              <w:bottom w:val="nil"/>
              <w:right w:val="single" w:color="000000" w:sz="4" w:space="0"/>
            </w:tcBorders>
            <w:shd w:val="clear" w:color="auto" w:fill="auto"/>
            <w:vAlign w:val="center"/>
          </w:tcPr>
          <w:p w14:paraId="6F79DE7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435" w:type="pct"/>
            <w:tcBorders>
              <w:top w:val="single" w:color="000000" w:sz="4" w:space="0"/>
              <w:left w:val="single" w:color="000000" w:sz="4" w:space="0"/>
              <w:bottom w:val="nil"/>
              <w:right w:val="single" w:color="000000" w:sz="4" w:space="0"/>
            </w:tcBorders>
            <w:shd w:val="clear" w:color="auto" w:fill="auto"/>
            <w:vAlign w:val="center"/>
          </w:tcPr>
          <w:p w14:paraId="29813EDB">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r>
      <w:tr w14:paraId="34C31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374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36371E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总分</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E72B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5F71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99.97</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C6BEF">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auto"/>
                <w:sz w:val="18"/>
                <w:szCs w:val="18"/>
                <w:u w:val="none"/>
              </w:rPr>
            </w:pPr>
          </w:p>
        </w:tc>
      </w:tr>
    </w:tbl>
    <w:p w14:paraId="683FFD42">
      <w:pPr>
        <w:pageBreakBefore w:val="0"/>
        <w:widowControl/>
        <w:kinsoku/>
        <w:wordWrap/>
        <w:overflowPunct/>
        <w:topLinePunct w:val="0"/>
        <w:autoSpaceDE/>
        <w:autoSpaceDN/>
        <w:bidi w:val="0"/>
        <w:spacing w:before="240" w:after="240" w:line="560" w:lineRule="exact"/>
        <w:rPr>
          <w:rFonts w:ascii="Times New Roman" w:hAnsi="Times New Roman" w:eastAsia="Times New Roman" w:cs="Times New Roman"/>
          <w:color w:val="auto"/>
          <w:kern w:val="0"/>
          <w:sz w:val="24"/>
          <w:u w:val="none"/>
        </w:rPr>
      </w:pPr>
    </w:p>
    <w:p w14:paraId="3D73B231">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b/>
          <w:bCs/>
          <w:color w:val="auto"/>
          <w:kern w:val="0"/>
          <w:sz w:val="27"/>
          <w:szCs w:val="27"/>
          <w:u w:val="none"/>
        </w:rPr>
        <w:t>  （三）</w:t>
      </w:r>
      <w:r>
        <w:rPr>
          <w:rFonts w:hint="eastAsia" w:ascii="方正楷体_GB2312" w:hAnsi="方正楷体_GB2312" w:eastAsia="方正楷体_GB2312" w:cs="方正楷体_GB2312"/>
          <w:b/>
          <w:bCs/>
          <w:color w:val="auto"/>
          <w:kern w:val="0"/>
          <w:sz w:val="27"/>
          <w:szCs w:val="27"/>
          <w:u w:val="none"/>
          <w:lang w:eastAsia="zh-CN"/>
        </w:rPr>
        <w:t>单位</w:t>
      </w:r>
      <w:r>
        <w:rPr>
          <w:rFonts w:ascii="方正楷体_GB2312" w:hAnsi="方正楷体_GB2312" w:eastAsia="方正楷体_GB2312" w:cs="方正楷体_GB2312"/>
          <w:b/>
          <w:bCs/>
          <w:color w:val="auto"/>
          <w:kern w:val="0"/>
          <w:sz w:val="27"/>
          <w:szCs w:val="27"/>
          <w:u w:val="none"/>
        </w:rPr>
        <w:t>项目绩效评价结果。</w:t>
      </w:r>
    </w:p>
    <w:p w14:paraId="63768AD5">
      <w:pPr>
        <w:pageBreakBefore w:val="0"/>
        <w:widowControl/>
        <w:kinsoku/>
        <w:wordWrap/>
        <w:overflowPunct/>
        <w:topLinePunct w:val="0"/>
        <w:autoSpaceDE/>
        <w:autoSpaceDN/>
        <w:bidi w:val="0"/>
        <w:spacing w:before="240" w:after="240" w:line="560" w:lineRule="exact"/>
        <w:ind w:firstLine="481"/>
        <w:jc w:val="left"/>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以城乡居民养老保险工作经费及经费为例，该项目绩效评价综合得分为</w:t>
      </w:r>
      <w:r>
        <w:rPr>
          <w:rFonts w:hint="eastAsia" w:ascii="仿宋_GB2312" w:hAnsi="仿宋_GB2312" w:eastAsia="仿宋_GB2312" w:cs="仿宋_GB2312"/>
          <w:color w:val="auto"/>
          <w:kern w:val="0"/>
          <w:sz w:val="32"/>
          <w:szCs w:val="32"/>
          <w:u w:val="none"/>
          <w:lang w:val="en-US" w:eastAsia="zh-CN"/>
        </w:rPr>
        <w:t>100</w:t>
      </w:r>
      <w:r>
        <w:rPr>
          <w:rFonts w:hint="eastAsia" w:ascii="仿宋_GB2312" w:hAnsi="仿宋_GB2312" w:eastAsia="仿宋_GB2312" w:cs="仿宋_GB2312"/>
          <w:color w:val="auto"/>
          <w:kern w:val="0"/>
          <w:sz w:val="32"/>
          <w:szCs w:val="32"/>
          <w:u w:val="none"/>
        </w:rPr>
        <w:t>分，绩效评价结果为“优”。重点项目绩效评价得分情况详见</w:t>
      </w:r>
      <w:r>
        <w:rPr>
          <w:rFonts w:hint="eastAsia" w:ascii="仿宋_GB2312" w:hAnsi="仿宋_GB2312" w:eastAsia="仿宋_GB2312" w:cs="仿宋_GB2312"/>
          <w:color w:val="auto"/>
          <w:kern w:val="0"/>
          <w:sz w:val="32"/>
          <w:szCs w:val="32"/>
          <w:u w:val="none"/>
          <w:lang w:eastAsia="zh-CN"/>
        </w:rPr>
        <w:t>单位</w:t>
      </w:r>
      <w:r>
        <w:rPr>
          <w:rFonts w:hint="eastAsia" w:ascii="仿宋_GB2312" w:hAnsi="仿宋_GB2312" w:eastAsia="仿宋_GB2312" w:cs="仿宋_GB2312"/>
          <w:color w:val="auto"/>
          <w:kern w:val="0"/>
          <w:sz w:val="32"/>
          <w:szCs w:val="32"/>
          <w:u w:val="none"/>
        </w:rPr>
        <w:t>具体绩效评价结果。</w:t>
      </w:r>
    </w:p>
    <w:p w14:paraId="4A66B9B2">
      <w:pPr>
        <w:pageBreakBefore w:val="0"/>
        <w:widowControl/>
        <w:kinsoku/>
        <w:wordWrap/>
        <w:overflowPunct/>
        <w:topLinePunct w:val="0"/>
        <w:autoSpaceDE/>
        <w:autoSpaceDN/>
        <w:bidi w:val="0"/>
        <w:spacing w:before="240" w:after="240" w:line="560" w:lineRule="exact"/>
        <w:ind w:firstLine="640" w:firstLineChars="200"/>
        <w:jc w:val="left"/>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lang w:eastAsia="zh-CN"/>
        </w:rPr>
        <w:t>《</w:t>
      </w:r>
      <w:r>
        <w:rPr>
          <w:rFonts w:hint="eastAsia" w:ascii="仿宋_GB2312" w:hAnsi="仿宋_GB2312" w:eastAsia="仿宋_GB2312" w:cs="仿宋_GB2312"/>
          <w:color w:val="auto"/>
          <w:kern w:val="0"/>
          <w:sz w:val="32"/>
          <w:szCs w:val="32"/>
          <w:u w:val="none"/>
          <w:lang w:val="en-US" w:eastAsia="zh-CN"/>
        </w:rPr>
        <w:t>城乡居民养老保险工作经费及经费项目自评报</w:t>
      </w:r>
      <w:r>
        <w:rPr>
          <w:rFonts w:hint="eastAsia" w:ascii="仿宋_GB2312" w:hAnsi="仿宋_GB2312" w:eastAsia="仿宋_GB2312" w:cs="仿宋_GB2312"/>
          <w:color w:val="auto"/>
          <w:kern w:val="0"/>
          <w:sz w:val="32"/>
          <w:szCs w:val="32"/>
          <w:u w:val="none"/>
          <w:lang w:eastAsia="zh-CN"/>
        </w:rPr>
        <w:t>》</w:t>
      </w:r>
      <w:r>
        <w:rPr>
          <w:rFonts w:hint="eastAsia" w:ascii="仿宋_GB2312" w:hAnsi="仿宋_GB2312" w:eastAsia="仿宋_GB2312" w:cs="仿宋_GB2312"/>
          <w:color w:val="auto"/>
          <w:kern w:val="0"/>
          <w:sz w:val="32"/>
          <w:szCs w:val="32"/>
          <w:u w:val="none"/>
          <w:lang w:val="en-US" w:eastAsia="zh-CN"/>
        </w:rPr>
        <w:t>见附件</w:t>
      </w:r>
    </w:p>
    <w:p w14:paraId="59502DCB">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p>
    <w:p w14:paraId="639B36ED">
      <w:pPr>
        <w:pStyle w:val="4"/>
        <w:keepNext w:val="0"/>
        <w:keepLines w:val="0"/>
        <w:pageBreakBefore w:val="0"/>
        <w:widowControl/>
        <w:kinsoku/>
        <w:wordWrap/>
        <w:overflowPunct/>
        <w:topLinePunct w:val="0"/>
        <w:autoSpaceDE/>
        <w:autoSpaceDN/>
        <w:bidi w:val="0"/>
        <w:spacing w:before="299" w:after="299" w:line="560" w:lineRule="exact"/>
        <w:jc w:val="center"/>
        <w:rPr>
          <w:rFonts w:ascii="fang_zheng_xiao_biao_song_ti" w:hAnsi="fang_zheng_xiao_biao_song_ti" w:eastAsia="fang_zheng_xiao_biao_song_ti" w:cs="fang_zheng_xiao_biao_song_ti"/>
          <w:color w:val="auto"/>
          <w:kern w:val="0"/>
          <w:sz w:val="36"/>
          <w:szCs w:val="36"/>
          <w:u w:val="none"/>
        </w:rPr>
      </w:pPr>
    </w:p>
    <w:p w14:paraId="5469B7A0">
      <w:pPr>
        <w:pStyle w:val="4"/>
        <w:keepNext w:val="0"/>
        <w:keepLines w:val="0"/>
        <w:pageBreakBefore w:val="0"/>
        <w:widowControl/>
        <w:kinsoku/>
        <w:wordWrap/>
        <w:overflowPunct/>
        <w:topLinePunct w:val="0"/>
        <w:autoSpaceDE/>
        <w:autoSpaceDN/>
        <w:bidi w:val="0"/>
        <w:spacing w:before="299" w:after="299" w:line="560" w:lineRule="exact"/>
        <w:jc w:val="center"/>
        <w:rPr>
          <w:rFonts w:ascii="fang_zheng_xiao_biao_song_ti" w:hAnsi="fang_zheng_xiao_biao_song_ti" w:eastAsia="fang_zheng_xiao_biao_song_ti" w:cs="fang_zheng_xiao_biao_song_ti"/>
          <w:color w:val="auto"/>
          <w:kern w:val="0"/>
          <w:sz w:val="36"/>
          <w:szCs w:val="36"/>
          <w:u w:val="none"/>
        </w:rPr>
      </w:pPr>
    </w:p>
    <w:p w14:paraId="3C11F625">
      <w:pPr>
        <w:pStyle w:val="4"/>
        <w:keepNext w:val="0"/>
        <w:keepLines w:val="0"/>
        <w:pageBreakBefore w:val="0"/>
        <w:widowControl/>
        <w:kinsoku/>
        <w:wordWrap/>
        <w:overflowPunct/>
        <w:topLinePunct w:val="0"/>
        <w:autoSpaceDE/>
        <w:autoSpaceDN/>
        <w:bidi w:val="0"/>
        <w:spacing w:before="299" w:after="299" w:line="560" w:lineRule="exact"/>
        <w:jc w:val="center"/>
        <w:rPr>
          <w:rFonts w:ascii="fang_zheng_xiao_biao_song_ti" w:hAnsi="fang_zheng_xiao_biao_song_ti" w:eastAsia="fang_zheng_xiao_biao_song_ti" w:cs="fang_zheng_xiao_biao_song_ti"/>
          <w:color w:val="auto"/>
          <w:kern w:val="0"/>
          <w:sz w:val="36"/>
          <w:szCs w:val="36"/>
          <w:u w:val="none"/>
        </w:rPr>
      </w:pPr>
    </w:p>
    <w:p w14:paraId="688DCB3A">
      <w:pPr>
        <w:pageBreakBefore w:val="0"/>
        <w:kinsoku/>
        <w:wordWrap/>
        <w:overflowPunct/>
        <w:topLinePunct w:val="0"/>
        <w:autoSpaceDE/>
        <w:autoSpaceDN/>
        <w:bidi w:val="0"/>
        <w:spacing w:line="560" w:lineRule="exact"/>
        <w:rPr>
          <w:rFonts w:ascii="fang_zheng_xiao_biao_song_ti" w:hAnsi="fang_zheng_xiao_biao_song_ti" w:eastAsia="fang_zheng_xiao_biao_song_ti" w:cs="fang_zheng_xiao_biao_song_ti"/>
          <w:color w:val="auto"/>
          <w:kern w:val="0"/>
          <w:sz w:val="36"/>
          <w:szCs w:val="36"/>
          <w:u w:val="none"/>
        </w:rPr>
      </w:pPr>
    </w:p>
    <w:p w14:paraId="3E2EB645">
      <w:pPr>
        <w:pageBreakBefore w:val="0"/>
        <w:kinsoku/>
        <w:wordWrap/>
        <w:overflowPunct/>
        <w:topLinePunct w:val="0"/>
        <w:autoSpaceDE/>
        <w:autoSpaceDN/>
        <w:bidi w:val="0"/>
        <w:spacing w:line="560" w:lineRule="exact"/>
        <w:rPr>
          <w:rFonts w:ascii="fang_zheng_xiao_biao_song_ti" w:hAnsi="fang_zheng_xiao_biao_song_ti" w:eastAsia="fang_zheng_xiao_biao_song_ti" w:cs="fang_zheng_xiao_biao_song_ti"/>
          <w:color w:val="auto"/>
          <w:kern w:val="0"/>
          <w:sz w:val="36"/>
          <w:szCs w:val="36"/>
          <w:u w:val="none"/>
        </w:rPr>
      </w:pPr>
    </w:p>
    <w:p w14:paraId="7D9011AB">
      <w:pPr>
        <w:pageBreakBefore w:val="0"/>
        <w:kinsoku/>
        <w:wordWrap/>
        <w:overflowPunct/>
        <w:topLinePunct w:val="0"/>
        <w:autoSpaceDE/>
        <w:autoSpaceDN/>
        <w:bidi w:val="0"/>
        <w:spacing w:line="560" w:lineRule="exact"/>
        <w:rPr>
          <w:rFonts w:ascii="fang_zheng_xiao_biao_song_ti" w:hAnsi="fang_zheng_xiao_biao_song_ti" w:eastAsia="fang_zheng_xiao_biao_song_ti" w:cs="fang_zheng_xiao_biao_song_ti"/>
          <w:color w:val="auto"/>
          <w:kern w:val="0"/>
          <w:sz w:val="36"/>
          <w:szCs w:val="36"/>
          <w:u w:val="none"/>
        </w:rPr>
      </w:pPr>
    </w:p>
    <w:p w14:paraId="1B62D3FB">
      <w:pPr>
        <w:pageBreakBefore w:val="0"/>
        <w:kinsoku/>
        <w:wordWrap/>
        <w:overflowPunct/>
        <w:topLinePunct w:val="0"/>
        <w:autoSpaceDE/>
        <w:autoSpaceDN/>
        <w:bidi w:val="0"/>
        <w:spacing w:line="560" w:lineRule="exact"/>
        <w:rPr>
          <w:rFonts w:ascii="fang_zheng_xiao_biao_song_ti" w:hAnsi="fang_zheng_xiao_biao_song_ti" w:eastAsia="fang_zheng_xiao_biao_song_ti" w:cs="fang_zheng_xiao_biao_song_ti"/>
          <w:color w:val="auto"/>
          <w:kern w:val="0"/>
          <w:sz w:val="36"/>
          <w:szCs w:val="36"/>
          <w:u w:val="none"/>
        </w:rPr>
      </w:pPr>
    </w:p>
    <w:p w14:paraId="384C5670">
      <w:pPr>
        <w:pageBreakBefore w:val="0"/>
        <w:kinsoku/>
        <w:wordWrap/>
        <w:overflowPunct/>
        <w:topLinePunct w:val="0"/>
        <w:autoSpaceDE/>
        <w:autoSpaceDN/>
        <w:bidi w:val="0"/>
        <w:spacing w:line="560" w:lineRule="exact"/>
        <w:rPr>
          <w:rFonts w:ascii="fang_zheng_xiao_biao_song_ti" w:hAnsi="fang_zheng_xiao_biao_song_ti" w:eastAsia="fang_zheng_xiao_biao_song_ti" w:cs="fang_zheng_xiao_biao_song_ti"/>
          <w:color w:val="auto"/>
          <w:kern w:val="0"/>
          <w:sz w:val="36"/>
          <w:szCs w:val="36"/>
          <w:u w:val="none"/>
        </w:rPr>
      </w:pPr>
    </w:p>
    <w:p w14:paraId="18221835">
      <w:pPr>
        <w:pageBreakBefore w:val="0"/>
        <w:kinsoku/>
        <w:wordWrap/>
        <w:overflowPunct/>
        <w:topLinePunct w:val="0"/>
        <w:autoSpaceDE/>
        <w:autoSpaceDN/>
        <w:bidi w:val="0"/>
        <w:spacing w:line="560" w:lineRule="exact"/>
        <w:rPr>
          <w:rFonts w:ascii="fang_zheng_xiao_biao_song_ti" w:hAnsi="fang_zheng_xiao_biao_song_ti" w:eastAsia="fang_zheng_xiao_biao_song_ti" w:cs="fang_zheng_xiao_biao_song_ti"/>
          <w:color w:val="auto"/>
          <w:kern w:val="0"/>
          <w:sz w:val="36"/>
          <w:szCs w:val="36"/>
          <w:u w:val="none"/>
        </w:rPr>
      </w:pPr>
    </w:p>
    <w:p w14:paraId="1BE86EF9">
      <w:pPr>
        <w:pageBreakBefore w:val="0"/>
        <w:kinsoku/>
        <w:wordWrap/>
        <w:overflowPunct/>
        <w:topLinePunct w:val="0"/>
        <w:autoSpaceDE/>
        <w:autoSpaceDN/>
        <w:bidi w:val="0"/>
        <w:spacing w:line="560" w:lineRule="exact"/>
        <w:rPr>
          <w:rFonts w:ascii="fang_zheng_xiao_biao_song_ti" w:hAnsi="fang_zheng_xiao_biao_song_ti" w:eastAsia="fang_zheng_xiao_biao_song_ti" w:cs="fang_zheng_xiao_biao_song_ti"/>
          <w:color w:val="auto"/>
          <w:kern w:val="0"/>
          <w:sz w:val="36"/>
          <w:szCs w:val="36"/>
          <w:u w:val="none"/>
        </w:rPr>
      </w:pPr>
    </w:p>
    <w:p w14:paraId="05B5BD88">
      <w:pPr>
        <w:pStyle w:val="4"/>
        <w:keepNext w:val="0"/>
        <w:keepLines w:val="0"/>
        <w:pageBreakBefore w:val="0"/>
        <w:widowControl/>
        <w:kinsoku/>
        <w:wordWrap/>
        <w:overflowPunct/>
        <w:topLinePunct w:val="0"/>
        <w:autoSpaceDE/>
        <w:autoSpaceDN/>
        <w:bidi w:val="0"/>
        <w:spacing w:before="299" w:after="299" w:line="560" w:lineRule="exact"/>
        <w:jc w:val="center"/>
        <w:rPr>
          <w:rFonts w:ascii="fang_zheng_xiao_biao_song_ti" w:hAnsi="fang_zheng_xiao_biao_song_ti" w:eastAsia="fang_zheng_xiao_biao_song_ti" w:cs="fang_zheng_xiao_biao_song_ti"/>
          <w:color w:val="auto"/>
          <w:kern w:val="0"/>
          <w:sz w:val="36"/>
          <w:szCs w:val="36"/>
          <w:u w:val="none"/>
        </w:rPr>
      </w:pPr>
    </w:p>
    <w:p w14:paraId="104EC5E0">
      <w:pPr>
        <w:pStyle w:val="4"/>
        <w:keepNext w:val="0"/>
        <w:keepLines w:val="0"/>
        <w:pageBreakBefore w:val="0"/>
        <w:widowControl/>
        <w:kinsoku/>
        <w:wordWrap/>
        <w:overflowPunct/>
        <w:topLinePunct w:val="0"/>
        <w:autoSpaceDE/>
        <w:autoSpaceDN/>
        <w:bidi w:val="0"/>
        <w:spacing w:before="299" w:after="299" w:line="560" w:lineRule="exact"/>
        <w:jc w:val="center"/>
        <w:rPr>
          <w:rFonts w:ascii="Times New Roman" w:hAnsi="Times New Roman" w:eastAsia="Times New Roman" w:cs="Times New Roman"/>
          <w:b/>
          <w:bCs/>
          <w:color w:val="auto"/>
          <w:kern w:val="0"/>
          <w:sz w:val="36"/>
          <w:szCs w:val="36"/>
          <w:u w:val="none"/>
        </w:rPr>
      </w:pPr>
      <w:r>
        <w:rPr>
          <w:rFonts w:ascii="fang_zheng_xiao_biao_song_ti" w:hAnsi="fang_zheng_xiao_biao_song_ti" w:eastAsia="fang_zheng_xiao_biao_song_ti" w:cs="fang_zheng_xiao_biao_song_ti"/>
          <w:color w:val="auto"/>
          <w:kern w:val="0"/>
          <w:sz w:val="36"/>
          <w:szCs w:val="36"/>
          <w:u w:val="none"/>
        </w:rPr>
        <w:t>第三部分 名词解释</w:t>
      </w:r>
    </w:p>
    <w:p w14:paraId="7788F7F1">
      <w:pPr>
        <w:keepNext w:val="0"/>
        <w:keepLines w:val="0"/>
        <w:pageBreakBefore w:val="0"/>
        <w:widowControl/>
        <w:kinsoku/>
        <w:wordWrap/>
        <w:overflowPunct/>
        <w:topLinePunct w:val="0"/>
        <w:autoSpaceDE/>
        <w:autoSpaceDN/>
        <w:bidi w:val="0"/>
        <w:adjustRightInd/>
        <w:snapToGrid/>
        <w:spacing w:before="240" w:after="240" w:line="560" w:lineRule="exact"/>
        <w:ind w:firstLine="542" w:firstLineChars="200"/>
        <w:jc w:val="left"/>
        <w:textAlignment w:val="auto"/>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b/>
          <w:bCs/>
          <w:color w:val="auto"/>
          <w:kern w:val="0"/>
          <w:sz w:val="27"/>
          <w:szCs w:val="27"/>
          <w:u w:val="none"/>
        </w:rPr>
        <w:t>  一、财政拨款收入：</w:t>
      </w:r>
      <w:r>
        <w:rPr>
          <w:rFonts w:ascii="方正楷体_GB2312" w:hAnsi="方正楷体_GB2312" w:eastAsia="方正楷体_GB2312" w:cs="方正楷体_GB2312"/>
          <w:color w:val="auto"/>
          <w:kern w:val="0"/>
          <w:sz w:val="27"/>
          <w:szCs w:val="27"/>
          <w:u w:val="none"/>
        </w:rPr>
        <w:t>从同级财政部门取得的各类财政拨款，包括一般公共预算财政拨款、政府性基金预算财政拨款、国有资本经营预算财政拨款。</w:t>
      </w:r>
    </w:p>
    <w:p w14:paraId="5619AB74">
      <w:pPr>
        <w:keepNext w:val="0"/>
        <w:keepLines w:val="0"/>
        <w:pageBreakBefore w:val="0"/>
        <w:widowControl/>
        <w:kinsoku/>
        <w:wordWrap/>
        <w:overflowPunct/>
        <w:topLinePunct w:val="0"/>
        <w:autoSpaceDE/>
        <w:autoSpaceDN/>
        <w:bidi w:val="0"/>
        <w:adjustRightInd/>
        <w:snapToGrid/>
        <w:spacing w:before="240" w:after="240" w:line="560" w:lineRule="exact"/>
        <w:ind w:firstLine="542" w:firstLineChars="200"/>
        <w:jc w:val="left"/>
        <w:textAlignment w:val="auto"/>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b/>
          <w:bCs/>
          <w:color w:val="auto"/>
          <w:kern w:val="0"/>
          <w:sz w:val="27"/>
          <w:szCs w:val="27"/>
          <w:u w:val="none"/>
        </w:rPr>
        <w:t>  二、上级补助收入：</w:t>
      </w:r>
      <w:r>
        <w:rPr>
          <w:rFonts w:ascii="方正楷体_GB2312" w:hAnsi="方正楷体_GB2312" w:eastAsia="方正楷体_GB2312" w:cs="方正楷体_GB2312"/>
          <w:color w:val="auto"/>
          <w:kern w:val="0"/>
          <w:sz w:val="27"/>
          <w:szCs w:val="27"/>
          <w:u w:val="none"/>
        </w:rPr>
        <w:t>指事业单位从主管部门和上级单位取得的非财政补助收入。</w:t>
      </w:r>
    </w:p>
    <w:p w14:paraId="7FF6290B">
      <w:pPr>
        <w:keepNext w:val="0"/>
        <w:keepLines w:val="0"/>
        <w:pageBreakBefore w:val="0"/>
        <w:widowControl/>
        <w:kinsoku/>
        <w:wordWrap/>
        <w:overflowPunct/>
        <w:topLinePunct w:val="0"/>
        <w:autoSpaceDE/>
        <w:autoSpaceDN/>
        <w:bidi w:val="0"/>
        <w:adjustRightInd/>
        <w:snapToGrid/>
        <w:spacing w:before="240" w:after="240" w:line="560" w:lineRule="exact"/>
        <w:ind w:firstLine="542" w:firstLineChars="200"/>
        <w:jc w:val="left"/>
        <w:textAlignment w:val="auto"/>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b/>
          <w:bCs/>
          <w:color w:val="auto"/>
          <w:kern w:val="0"/>
          <w:sz w:val="27"/>
          <w:szCs w:val="27"/>
          <w:u w:val="none"/>
        </w:rPr>
        <w:t>  三、财政专户管理教育收费：</w:t>
      </w:r>
      <w:r>
        <w:rPr>
          <w:rFonts w:ascii="方正楷体_GB2312" w:hAnsi="方正楷体_GB2312" w:eastAsia="方正楷体_GB2312" w:cs="方正楷体_GB2312"/>
          <w:color w:val="auto"/>
          <w:kern w:val="0"/>
          <w:sz w:val="27"/>
          <w:szCs w:val="27"/>
          <w:u w:val="none"/>
        </w:rPr>
        <w:t>指缴入财政专户、实行专项管理的高中以上学费、住宿费、高校委托培养费、函大、电大、夜大及短训班培训费等教育收费。</w:t>
      </w:r>
    </w:p>
    <w:p w14:paraId="2755E35E">
      <w:pPr>
        <w:keepNext w:val="0"/>
        <w:keepLines w:val="0"/>
        <w:pageBreakBefore w:val="0"/>
        <w:widowControl/>
        <w:kinsoku/>
        <w:wordWrap/>
        <w:overflowPunct/>
        <w:topLinePunct w:val="0"/>
        <w:autoSpaceDE/>
        <w:autoSpaceDN/>
        <w:bidi w:val="0"/>
        <w:adjustRightInd/>
        <w:snapToGrid/>
        <w:spacing w:before="240" w:after="240" w:line="560" w:lineRule="exact"/>
        <w:ind w:firstLine="542" w:firstLineChars="200"/>
        <w:jc w:val="left"/>
        <w:textAlignment w:val="auto"/>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b/>
          <w:bCs/>
          <w:color w:val="auto"/>
          <w:kern w:val="0"/>
          <w:sz w:val="27"/>
          <w:szCs w:val="27"/>
          <w:u w:val="none"/>
        </w:rPr>
        <w:t>  四、事业收入：</w:t>
      </w:r>
      <w:r>
        <w:rPr>
          <w:rFonts w:ascii="方正楷体_GB2312" w:hAnsi="方正楷体_GB2312" w:eastAsia="方正楷体_GB2312" w:cs="方正楷体_GB2312"/>
          <w:color w:val="auto"/>
          <w:kern w:val="0"/>
          <w:sz w:val="27"/>
          <w:szCs w:val="27"/>
          <w:u w:val="none"/>
        </w:rPr>
        <w:t>指事业单位开展专业业务活动及其辅助活动取得的收入。</w:t>
      </w:r>
    </w:p>
    <w:p w14:paraId="292A1211">
      <w:pPr>
        <w:keepNext w:val="0"/>
        <w:keepLines w:val="0"/>
        <w:pageBreakBefore w:val="0"/>
        <w:widowControl/>
        <w:kinsoku/>
        <w:wordWrap/>
        <w:overflowPunct/>
        <w:topLinePunct w:val="0"/>
        <w:autoSpaceDE/>
        <w:autoSpaceDN/>
        <w:bidi w:val="0"/>
        <w:adjustRightInd/>
        <w:snapToGrid/>
        <w:spacing w:before="240" w:after="240" w:line="560" w:lineRule="exact"/>
        <w:ind w:firstLine="542" w:firstLineChars="200"/>
        <w:jc w:val="left"/>
        <w:textAlignment w:val="auto"/>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b/>
          <w:bCs/>
          <w:color w:val="auto"/>
          <w:kern w:val="0"/>
          <w:sz w:val="27"/>
          <w:szCs w:val="27"/>
          <w:u w:val="none"/>
        </w:rPr>
        <w:t>  五、经营收入：</w:t>
      </w:r>
      <w:r>
        <w:rPr>
          <w:rFonts w:ascii="方正楷体_GB2312" w:hAnsi="方正楷体_GB2312" w:eastAsia="方正楷体_GB2312" w:cs="方正楷体_GB2312"/>
          <w:color w:val="auto"/>
          <w:kern w:val="0"/>
          <w:sz w:val="27"/>
          <w:szCs w:val="27"/>
          <w:u w:val="none"/>
        </w:rPr>
        <w:t>指事业单位在专业业务活动及其辅助活动之外开展非独立核算经营活动取得的收入。</w:t>
      </w:r>
    </w:p>
    <w:p w14:paraId="0C6AA55E">
      <w:pPr>
        <w:keepNext w:val="0"/>
        <w:keepLines w:val="0"/>
        <w:pageBreakBefore w:val="0"/>
        <w:widowControl/>
        <w:kinsoku/>
        <w:wordWrap/>
        <w:overflowPunct/>
        <w:topLinePunct w:val="0"/>
        <w:autoSpaceDE/>
        <w:autoSpaceDN/>
        <w:bidi w:val="0"/>
        <w:adjustRightInd/>
        <w:snapToGrid/>
        <w:spacing w:before="240" w:after="240" w:line="560" w:lineRule="exact"/>
        <w:ind w:firstLine="542" w:firstLineChars="200"/>
        <w:jc w:val="left"/>
        <w:textAlignment w:val="auto"/>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b/>
          <w:bCs/>
          <w:color w:val="auto"/>
          <w:kern w:val="0"/>
          <w:sz w:val="27"/>
          <w:szCs w:val="27"/>
          <w:u w:val="none"/>
        </w:rPr>
        <w:t>  六、附属单位上缴收入：</w:t>
      </w:r>
      <w:r>
        <w:rPr>
          <w:rFonts w:ascii="方正楷体_GB2312" w:hAnsi="方正楷体_GB2312" w:eastAsia="方正楷体_GB2312" w:cs="方正楷体_GB2312"/>
          <w:color w:val="auto"/>
          <w:kern w:val="0"/>
          <w:sz w:val="27"/>
          <w:szCs w:val="27"/>
          <w:u w:val="none"/>
        </w:rPr>
        <w:t>指事业单位取得附属独立核算单位按照有关规定上缴的收入。</w:t>
      </w:r>
    </w:p>
    <w:p w14:paraId="4AC285DC">
      <w:pPr>
        <w:keepNext w:val="0"/>
        <w:keepLines w:val="0"/>
        <w:pageBreakBefore w:val="0"/>
        <w:widowControl/>
        <w:kinsoku/>
        <w:wordWrap/>
        <w:overflowPunct/>
        <w:topLinePunct w:val="0"/>
        <w:autoSpaceDE/>
        <w:autoSpaceDN/>
        <w:bidi w:val="0"/>
        <w:adjustRightInd/>
        <w:snapToGrid/>
        <w:spacing w:before="240" w:after="240" w:line="560" w:lineRule="exact"/>
        <w:ind w:firstLine="542" w:firstLineChars="200"/>
        <w:jc w:val="left"/>
        <w:textAlignment w:val="auto"/>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b/>
          <w:bCs/>
          <w:color w:val="auto"/>
          <w:kern w:val="0"/>
          <w:sz w:val="27"/>
          <w:szCs w:val="27"/>
          <w:u w:val="none"/>
        </w:rPr>
        <w:t>  七、其他收入：</w:t>
      </w:r>
      <w:r>
        <w:rPr>
          <w:rFonts w:ascii="方正楷体_GB2312" w:hAnsi="方正楷体_GB2312" w:eastAsia="方正楷体_GB2312" w:cs="方正楷体_GB2312"/>
          <w:color w:val="auto"/>
          <w:kern w:val="0"/>
          <w:sz w:val="27"/>
          <w:szCs w:val="27"/>
          <w:u w:val="none"/>
        </w:rPr>
        <w:t>取得的除上述“财政拨款收入”、“上级补助收入”、“事业收入”、“经营收入”、“附属单位上缴收入”等以外的各项收入。</w:t>
      </w:r>
    </w:p>
    <w:p w14:paraId="5B831C3A">
      <w:pPr>
        <w:keepNext w:val="0"/>
        <w:keepLines w:val="0"/>
        <w:pageBreakBefore w:val="0"/>
        <w:widowControl/>
        <w:kinsoku/>
        <w:wordWrap/>
        <w:overflowPunct/>
        <w:topLinePunct w:val="0"/>
        <w:autoSpaceDE/>
        <w:autoSpaceDN/>
        <w:bidi w:val="0"/>
        <w:adjustRightInd/>
        <w:snapToGrid/>
        <w:spacing w:before="240" w:after="240" w:line="560" w:lineRule="exact"/>
        <w:ind w:firstLine="542" w:firstLineChars="200"/>
        <w:jc w:val="left"/>
        <w:textAlignment w:val="auto"/>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b/>
          <w:bCs/>
          <w:color w:val="auto"/>
          <w:kern w:val="0"/>
          <w:sz w:val="27"/>
          <w:szCs w:val="27"/>
          <w:u w:val="none"/>
        </w:rPr>
        <w:t>  八、使用非财政拨款结余和专用结余：</w:t>
      </w:r>
      <w:r>
        <w:rPr>
          <w:rFonts w:ascii="方正楷体_GB2312" w:hAnsi="方正楷体_GB2312" w:eastAsia="方正楷体_GB2312" w:cs="方正楷体_GB2312"/>
          <w:color w:val="auto"/>
          <w:kern w:val="0"/>
          <w:sz w:val="27"/>
          <w:szCs w:val="27"/>
          <w:u w:val="none"/>
        </w:rPr>
        <w:t>指事业单位按照预算管理要求使用非财政拨款结余和专用结余弥补当年收支差额的数额。</w:t>
      </w:r>
    </w:p>
    <w:p w14:paraId="62492DCD">
      <w:pPr>
        <w:keepNext w:val="0"/>
        <w:keepLines w:val="0"/>
        <w:pageBreakBefore w:val="0"/>
        <w:widowControl/>
        <w:kinsoku/>
        <w:wordWrap/>
        <w:overflowPunct/>
        <w:topLinePunct w:val="0"/>
        <w:autoSpaceDE/>
        <w:autoSpaceDN/>
        <w:bidi w:val="0"/>
        <w:adjustRightInd/>
        <w:snapToGrid/>
        <w:spacing w:before="240" w:after="240" w:line="560" w:lineRule="exact"/>
        <w:ind w:firstLine="542" w:firstLineChars="200"/>
        <w:jc w:val="left"/>
        <w:textAlignment w:val="auto"/>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b/>
          <w:bCs/>
          <w:color w:val="auto"/>
          <w:kern w:val="0"/>
          <w:sz w:val="27"/>
          <w:szCs w:val="27"/>
          <w:u w:val="none"/>
        </w:rPr>
        <w:t>  九、年初结转和结余：</w:t>
      </w:r>
      <w:r>
        <w:rPr>
          <w:rFonts w:ascii="方正楷体_GB2312" w:hAnsi="方正楷体_GB2312" w:eastAsia="方正楷体_GB2312" w:cs="方正楷体_GB2312"/>
          <w:color w:val="auto"/>
          <w:kern w:val="0"/>
          <w:sz w:val="27"/>
          <w:szCs w:val="27"/>
          <w:u w:val="none"/>
        </w:rPr>
        <w:t>指单位上年结转本年使用的基本支出结转、项目支出结转和结余、经营结余。</w:t>
      </w:r>
    </w:p>
    <w:p w14:paraId="3E8DBE7D">
      <w:pPr>
        <w:keepNext w:val="0"/>
        <w:keepLines w:val="0"/>
        <w:pageBreakBefore w:val="0"/>
        <w:widowControl/>
        <w:kinsoku/>
        <w:wordWrap/>
        <w:overflowPunct/>
        <w:topLinePunct w:val="0"/>
        <w:autoSpaceDE/>
        <w:autoSpaceDN/>
        <w:bidi w:val="0"/>
        <w:adjustRightInd/>
        <w:snapToGrid/>
        <w:spacing w:before="240" w:after="240" w:line="560" w:lineRule="exact"/>
        <w:ind w:firstLine="542" w:firstLineChars="200"/>
        <w:jc w:val="left"/>
        <w:textAlignment w:val="auto"/>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b/>
          <w:bCs/>
          <w:color w:val="auto"/>
          <w:kern w:val="0"/>
          <w:sz w:val="27"/>
          <w:szCs w:val="27"/>
          <w:u w:val="none"/>
        </w:rPr>
        <w:t>  十、结余分配：</w:t>
      </w:r>
      <w:r>
        <w:rPr>
          <w:rFonts w:ascii="方正楷体_GB2312" w:hAnsi="方正楷体_GB2312" w:eastAsia="方正楷体_GB2312" w:cs="方正楷体_GB2312"/>
          <w:color w:val="auto"/>
          <w:kern w:val="0"/>
          <w:sz w:val="27"/>
          <w:szCs w:val="27"/>
          <w:u w:val="none"/>
        </w:rPr>
        <w:t>指事业单位按规定缴纳企业所得税以及从非财政拨款结余或经营结余中提取各类结余的情况。</w:t>
      </w:r>
    </w:p>
    <w:p w14:paraId="164A7812">
      <w:pPr>
        <w:keepNext w:val="0"/>
        <w:keepLines w:val="0"/>
        <w:pageBreakBefore w:val="0"/>
        <w:widowControl/>
        <w:kinsoku/>
        <w:wordWrap/>
        <w:overflowPunct/>
        <w:topLinePunct w:val="0"/>
        <w:autoSpaceDE/>
        <w:autoSpaceDN/>
        <w:bidi w:val="0"/>
        <w:adjustRightInd/>
        <w:snapToGrid/>
        <w:spacing w:before="240" w:after="240" w:line="560" w:lineRule="exact"/>
        <w:ind w:firstLine="542" w:firstLineChars="200"/>
        <w:jc w:val="left"/>
        <w:textAlignment w:val="auto"/>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b/>
          <w:bCs/>
          <w:color w:val="auto"/>
          <w:kern w:val="0"/>
          <w:sz w:val="27"/>
          <w:szCs w:val="27"/>
          <w:u w:val="none"/>
        </w:rPr>
        <w:t>  十一、年末结转和结余资金：</w:t>
      </w:r>
      <w:r>
        <w:rPr>
          <w:rFonts w:ascii="方正楷体_GB2312" w:hAnsi="方正楷体_GB2312" w:eastAsia="方正楷体_GB2312" w:cs="方正楷体_GB2312"/>
          <w:color w:val="auto"/>
          <w:kern w:val="0"/>
          <w:sz w:val="27"/>
          <w:szCs w:val="27"/>
          <w:u w:val="none"/>
        </w:rPr>
        <w:t>指单位结转下年的基本支出结转、项目支出结转和结余、经营结余。</w:t>
      </w:r>
    </w:p>
    <w:p w14:paraId="31EC71EA">
      <w:pPr>
        <w:keepNext w:val="0"/>
        <w:keepLines w:val="0"/>
        <w:pageBreakBefore w:val="0"/>
        <w:widowControl/>
        <w:kinsoku/>
        <w:wordWrap/>
        <w:overflowPunct/>
        <w:topLinePunct w:val="0"/>
        <w:autoSpaceDE/>
        <w:autoSpaceDN/>
        <w:bidi w:val="0"/>
        <w:adjustRightInd/>
        <w:snapToGrid/>
        <w:spacing w:before="240" w:after="240" w:line="560" w:lineRule="exact"/>
        <w:ind w:firstLine="542" w:firstLineChars="200"/>
        <w:jc w:val="left"/>
        <w:textAlignment w:val="auto"/>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b/>
          <w:bCs/>
          <w:color w:val="auto"/>
          <w:kern w:val="0"/>
          <w:sz w:val="27"/>
          <w:szCs w:val="27"/>
          <w:u w:val="none"/>
        </w:rPr>
        <w:t>  十二、基本支出：</w:t>
      </w:r>
      <w:r>
        <w:rPr>
          <w:rFonts w:ascii="方正楷体_GB2312" w:hAnsi="方正楷体_GB2312" w:eastAsia="方正楷体_GB2312" w:cs="方正楷体_GB2312"/>
          <w:color w:val="auto"/>
          <w:kern w:val="0"/>
          <w:sz w:val="27"/>
          <w:szCs w:val="27"/>
          <w:u w:val="none"/>
        </w:rPr>
        <w:t>指为保障机构正常运转、完成日常工作任务所发生的支出，包括人员经费和公用经费。</w:t>
      </w:r>
    </w:p>
    <w:p w14:paraId="1296D4DE">
      <w:pPr>
        <w:keepNext w:val="0"/>
        <w:keepLines w:val="0"/>
        <w:pageBreakBefore w:val="0"/>
        <w:widowControl/>
        <w:kinsoku/>
        <w:wordWrap/>
        <w:overflowPunct/>
        <w:topLinePunct w:val="0"/>
        <w:autoSpaceDE/>
        <w:autoSpaceDN/>
        <w:bidi w:val="0"/>
        <w:adjustRightInd/>
        <w:snapToGrid/>
        <w:spacing w:before="240" w:after="240" w:line="560" w:lineRule="exact"/>
        <w:ind w:firstLine="542" w:firstLineChars="200"/>
        <w:jc w:val="left"/>
        <w:textAlignment w:val="auto"/>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b/>
          <w:bCs/>
          <w:color w:val="auto"/>
          <w:kern w:val="0"/>
          <w:sz w:val="27"/>
          <w:szCs w:val="27"/>
          <w:u w:val="none"/>
        </w:rPr>
        <w:t>  十三、项目支出：</w:t>
      </w:r>
      <w:r>
        <w:rPr>
          <w:rFonts w:ascii="方正楷体_GB2312" w:hAnsi="方正楷体_GB2312" w:eastAsia="方正楷体_GB2312" w:cs="方正楷体_GB2312"/>
          <w:color w:val="auto"/>
          <w:kern w:val="0"/>
          <w:sz w:val="27"/>
          <w:szCs w:val="27"/>
          <w:u w:val="none"/>
        </w:rPr>
        <w:t>指在为完成特定的工作任务和事业发展目标所发生的支出。</w:t>
      </w:r>
    </w:p>
    <w:p w14:paraId="45EB6AD7">
      <w:pPr>
        <w:keepNext w:val="0"/>
        <w:keepLines w:val="0"/>
        <w:pageBreakBefore w:val="0"/>
        <w:widowControl/>
        <w:kinsoku/>
        <w:wordWrap/>
        <w:overflowPunct/>
        <w:topLinePunct w:val="0"/>
        <w:autoSpaceDE/>
        <w:autoSpaceDN/>
        <w:bidi w:val="0"/>
        <w:adjustRightInd/>
        <w:snapToGrid/>
        <w:spacing w:before="240" w:after="240" w:line="560" w:lineRule="exact"/>
        <w:ind w:firstLine="542" w:firstLineChars="200"/>
        <w:jc w:val="left"/>
        <w:textAlignment w:val="auto"/>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b/>
          <w:bCs/>
          <w:color w:val="auto"/>
          <w:kern w:val="0"/>
          <w:sz w:val="27"/>
          <w:szCs w:val="27"/>
          <w:u w:val="none"/>
        </w:rPr>
        <w:t>  十四、上缴上级支出：</w:t>
      </w:r>
      <w:r>
        <w:rPr>
          <w:rFonts w:ascii="方正楷体_GB2312" w:hAnsi="方正楷体_GB2312" w:eastAsia="方正楷体_GB2312" w:cs="方正楷体_GB2312"/>
          <w:color w:val="auto"/>
          <w:kern w:val="0"/>
          <w:sz w:val="27"/>
          <w:szCs w:val="27"/>
          <w:u w:val="none"/>
        </w:rPr>
        <w:t>指事业单位按照财政部门和主管部门的规定上缴上级单位的支出。</w:t>
      </w:r>
    </w:p>
    <w:p w14:paraId="2DAF6B45">
      <w:pPr>
        <w:keepNext w:val="0"/>
        <w:keepLines w:val="0"/>
        <w:pageBreakBefore w:val="0"/>
        <w:widowControl/>
        <w:kinsoku/>
        <w:wordWrap/>
        <w:overflowPunct/>
        <w:topLinePunct w:val="0"/>
        <w:autoSpaceDE/>
        <w:autoSpaceDN/>
        <w:bidi w:val="0"/>
        <w:adjustRightInd/>
        <w:snapToGrid/>
        <w:spacing w:before="240" w:after="240" w:line="560" w:lineRule="exact"/>
        <w:ind w:firstLine="542" w:firstLineChars="200"/>
        <w:jc w:val="left"/>
        <w:textAlignment w:val="auto"/>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b/>
          <w:bCs/>
          <w:color w:val="auto"/>
          <w:kern w:val="0"/>
          <w:sz w:val="27"/>
          <w:szCs w:val="27"/>
          <w:u w:val="none"/>
        </w:rPr>
        <w:t>  十五、经营支出：</w:t>
      </w:r>
      <w:r>
        <w:rPr>
          <w:rFonts w:ascii="方正楷体_GB2312" w:hAnsi="方正楷体_GB2312" w:eastAsia="方正楷体_GB2312" w:cs="方正楷体_GB2312"/>
          <w:color w:val="auto"/>
          <w:kern w:val="0"/>
          <w:sz w:val="27"/>
          <w:szCs w:val="27"/>
          <w:u w:val="none"/>
        </w:rPr>
        <w:t>指事业单位在专业业务活动及其辅助活动之外开展非独立核算经营活动发生的支出。</w:t>
      </w:r>
    </w:p>
    <w:p w14:paraId="3FA82FC8">
      <w:pPr>
        <w:keepNext w:val="0"/>
        <w:keepLines w:val="0"/>
        <w:pageBreakBefore w:val="0"/>
        <w:widowControl/>
        <w:kinsoku/>
        <w:wordWrap/>
        <w:overflowPunct/>
        <w:topLinePunct w:val="0"/>
        <w:autoSpaceDE/>
        <w:autoSpaceDN/>
        <w:bidi w:val="0"/>
        <w:adjustRightInd/>
        <w:snapToGrid/>
        <w:spacing w:before="240" w:after="240" w:line="560" w:lineRule="exact"/>
        <w:ind w:firstLine="542" w:firstLineChars="200"/>
        <w:jc w:val="left"/>
        <w:textAlignment w:val="auto"/>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b/>
          <w:bCs/>
          <w:color w:val="auto"/>
          <w:kern w:val="0"/>
          <w:sz w:val="27"/>
          <w:szCs w:val="27"/>
          <w:u w:val="none"/>
        </w:rPr>
        <w:t>  十六、对附属单位补助支出：</w:t>
      </w:r>
      <w:r>
        <w:rPr>
          <w:rFonts w:ascii="方正楷体_GB2312" w:hAnsi="方正楷体_GB2312" w:eastAsia="方正楷体_GB2312" w:cs="方正楷体_GB2312"/>
          <w:color w:val="auto"/>
          <w:kern w:val="0"/>
          <w:sz w:val="27"/>
          <w:szCs w:val="27"/>
          <w:u w:val="none"/>
        </w:rPr>
        <w:t>指事业单位用财政拨款收入之外的收入对附属单位补助发生的支出。</w:t>
      </w:r>
    </w:p>
    <w:p w14:paraId="3CD60389">
      <w:pPr>
        <w:keepNext w:val="0"/>
        <w:keepLines w:val="0"/>
        <w:pageBreakBefore w:val="0"/>
        <w:widowControl/>
        <w:kinsoku/>
        <w:wordWrap/>
        <w:overflowPunct/>
        <w:topLinePunct w:val="0"/>
        <w:autoSpaceDE/>
        <w:autoSpaceDN/>
        <w:bidi w:val="0"/>
        <w:adjustRightInd/>
        <w:snapToGrid/>
        <w:spacing w:before="240" w:after="240" w:line="560" w:lineRule="exact"/>
        <w:ind w:firstLine="542" w:firstLineChars="200"/>
        <w:jc w:val="left"/>
        <w:textAlignment w:val="auto"/>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b/>
          <w:bCs/>
          <w:color w:val="auto"/>
          <w:kern w:val="0"/>
          <w:sz w:val="27"/>
          <w:szCs w:val="27"/>
          <w:u w:val="none"/>
        </w:rPr>
        <w:t>  十七、“三公”经费：</w:t>
      </w:r>
      <w:r>
        <w:rPr>
          <w:rFonts w:ascii="方正楷体_GB2312" w:hAnsi="方正楷体_GB2312" w:eastAsia="方正楷体_GB2312" w:cs="方正楷体_GB2312"/>
          <w:color w:val="auto"/>
          <w:kern w:val="0"/>
          <w:sz w:val="27"/>
          <w:szCs w:val="27"/>
          <w:u w:val="none"/>
        </w:rPr>
        <w:t>指</w:t>
      </w:r>
      <w:r>
        <w:rPr>
          <w:rFonts w:hint="eastAsia" w:ascii="方正楷体_GB2312" w:hAnsi="方正楷体_GB2312" w:eastAsia="方正楷体_GB2312" w:cs="方正楷体_GB2312"/>
          <w:color w:val="auto"/>
          <w:kern w:val="0"/>
          <w:sz w:val="27"/>
          <w:szCs w:val="27"/>
          <w:u w:val="none"/>
          <w:lang w:eastAsia="zh-CN"/>
        </w:rPr>
        <w:t>单位</w:t>
      </w:r>
      <w:r>
        <w:rPr>
          <w:rFonts w:ascii="方正楷体_GB2312" w:hAnsi="方正楷体_GB2312" w:eastAsia="方正楷体_GB2312" w:cs="方正楷体_GB2312"/>
          <w:color w:val="auto"/>
          <w:kern w:val="0"/>
          <w:sz w:val="27"/>
          <w:szCs w:val="27"/>
          <w:u w:val="none"/>
        </w:rPr>
        <w:t>用财政拨款安排的因公出国（境）费、公务用车购置及运行维护费和公务接待费。其中，因公出国（境）费反映</w:t>
      </w:r>
      <w:r>
        <w:rPr>
          <w:rFonts w:hint="eastAsia" w:ascii="方正楷体_GB2312" w:hAnsi="方正楷体_GB2312" w:eastAsia="方正楷体_GB2312" w:cs="方正楷体_GB2312"/>
          <w:color w:val="auto"/>
          <w:kern w:val="0"/>
          <w:sz w:val="27"/>
          <w:szCs w:val="27"/>
          <w:u w:val="none"/>
          <w:lang w:eastAsia="zh-CN"/>
        </w:rPr>
        <w:t>单位</w:t>
      </w:r>
      <w:r>
        <w:rPr>
          <w:rFonts w:ascii="方正楷体_GB2312" w:hAnsi="方正楷体_GB2312" w:eastAsia="方正楷体_GB2312" w:cs="方正楷体_GB2312"/>
          <w:color w:val="auto"/>
          <w:kern w:val="0"/>
          <w:sz w:val="27"/>
          <w:szCs w:val="27"/>
          <w:u w:val="none"/>
        </w:rPr>
        <w:t>)公务出国（境）的国际旅费、国外城市间交通费、住宿费、伙食费、培训费、公杂费等支出；公务用车购置及运行维护费反映</w:t>
      </w:r>
      <w:r>
        <w:rPr>
          <w:rFonts w:hint="eastAsia" w:ascii="方正楷体_GB2312" w:hAnsi="方正楷体_GB2312" w:eastAsia="方正楷体_GB2312" w:cs="方正楷体_GB2312"/>
          <w:color w:val="auto"/>
          <w:kern w:val="0"/>
          <w:sz w:val="27"/>
          <w:szCs w:val="27"/>
          <w:u w:val="none"/>
          <w:lang w:eastAsia="zh-CN"/>
        </w:rPr>
        <w:t>单位</w:t>
      </w:r>
      <w:r>
        <w:rPr>
          <w:rFonts w:ascii="方正楷体_GB2312" w:hAnsi="方正楷体_GB2312" w:eastAsia="方正楷体_GB2312" w:cs="方正楷体_GB2312"/>
          <w:color w:val="auto"/>
          <w:kern w:val="0"/>
          <w:sz w:val="27"/>
          <w:szCs w:val="27"/>
          <w:u w:val="none"/>
        </w:rPr>
        <w:t>公务用车购置支出（含车辆购置税、牌照费）以及按规定保留的公务用车燃料费、维修费、过路过桥费、保险费、安全奖励费用等支出；公务接待费反映</w:t>
      </w:r>
      <w:r>
        <w:rPr>
          <w:rFonts w:hint="eastAsia" w:ascii="方正楷体_GB2312" w:hAnsi="方正楷体_GB2312" w:eastAsia="方正楷体_GB2312" w:cs="方正楷体_GB2312"/>
          <w:color w:val="auto"/>
          <w:kern w:val="0"/>
          <w:sz w:val="27"/>
          <w:szCs w:val="27"/>
          <w:u w:val="none"/>
          <w:lang w:eastAsia="zh-CN"/>
        </w:rPr>
        <w:t>单位</w:t>
      </w:r>
      <w:r>
        <w:rPr>
          <w:rFonts w:ascii="方正楷体_GB2312" w:hAnsi="方正楷体_GB2312" w:eastAsia="方正楷体_GB2312" w:cs="方正楷体_GB2312"/>
          <w:color w:val="auto"/>
          <w:kern w:val="0"/>
          <w:sz w:val="27"/>
          <w:szCs w:val="27"/>
          <w:u w:val="none"/>
        </w:rPr>
        <w:t>按规定开支的各类公务接待（含外宾接待）费用。</w:t>
      </w:r>
    </w:p>
    <w:p w14:paraId="79EB4EFD">
      <w:pPr>
        <w:keepNext w:val="0"/>
        <w:keepLines w:val="0"/>
        <w:pageBreakBefore w:val="0"/>
        <w:widowControl/>
        <w:kinsoku/>
        <w:wordWrap/>
        <w:overflowPunct/>
        <w:topLinePunct w:val="0"/>
        <w:autoSpaceDE/>
        <w:autoSpaceDN/>
        <w:bidi w:val="0"/>
        <w:adjustRightInd/>
        <w:snapToGrid/>
        <w:spacing w:before="240" w:after="240" w:line="560" w:lineRule="exact"/>
        <w:ind w:firstLine="542" w:firstLineChars="200"/>
        <w:jc w:val="left"/>
        <w:textAlignment w:val="auto"/>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b/>
          <w:bCs/>
          <w:color w:val="auto"/>
          <w:kern w:val="0"/>
          <w:sz w:val="27"/>
          <w:szCs w:val="27"/>
          <w:u w:val="none"/>
        </w:rPr>
        <w:t>  十八、机构运行经费：</w:t>
      </w:r>
      <w:r>
        <w:rPr>
          <w:rFonts w:ascii="方正楷体_GB2312" w:hAnsi="方正楷体_GB2312" w:eastAsia="方正楷体_GB2312" w:cs="方正楷体_GB2312"/>
          <w:color w:val="auto"/>
          <w:kern w:val="0"/>
          <w:sz w:val="27"/>
          <w:szCs w:val="27"/>
          <w:u w:val="none"/>
        </w:rPr>
        <w:t>指</w:t>
      </w:r>
      <w:r>
        <w:rPr>
          <w:rFonts w:hint="eastAsia" w:ascii="方正楷体_GB2312" w:hAnsi="方正楷体_GB2312" w:eastAsia="方正楷体_GB2312" w:cs="方正楷体_GB2312"/>
          <w:color w:val="auto"/>
          <w:kern w:val="0"/>
          <w:sz w:val="27"/>
          <w:szCs w:val="27"/>
          <w:u w:val="none"/>
          <w:lang w:eastAsia="zh-CN"/>
        </w:rPr>
        <w:t>单位</w:t>
      </w:r>
      <w:r>
        <w:rPr>
          <w:rFonts w:ascii="方正楷体_GB2312" w:hAnsi="方正楷体_GB2312" w:eastAsia="方正楷体_GB2312" w:cs="方正楷体_GB2312"/>
          <w:color w:val="auto"/>
          <w:kern w:val="0"/>
          <w:sz w:val="27"/>
          <w:szCs w:val="27"/>
          <w:u w:val="none"/>
        </w:rPr>
        <w:t>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14:paraId="66DF3DA2">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color w:val="auto"/>
          <w:kern w:val="0"/>
          <w:sz w:val="27"/>
          <w:szCs w:val="27"/>
          <w:u w:val="none"/>
        </w:rPr>
        <w:t>  </w:t>
      </w:r>
    </w:p>
    <w:p w14:paraId="465EFAB6">
      <w:pPr>
        <w:pStyle w:val="4"/>
        <w:keepNext w:val="0"/>
        <w:keepLines w:val="0"/>
        <w:pageBreakBefore w:val="0"/>
        <w:widowControl/>
        <w:kinsoku/>
        <w:wordWrap/>
        <w:overflowPunct/>
        <w:topLinePunct w:val="0"/>
        <w:autoSpaceDE/>
        <w:autoSpaceDN/>
        <w:bidi w:val="0"/>
        <w:spacing w:before="299" w:after="299" w:line="560" w:lineRule="exact"/>
        <w:jc w:val="center"/>
        <w:rPr>
          <w:rFonts w:ascii="Times New Roman" w:hAnsi="Times New Roman" w:eastAsia="Times New Roman" w:cs="Times New Roman"/>
          <w:b/>
          <w:bCs/>
          <w:color w:val="auto"/>
          <w:kern w:val="0"/>
          <w:sz w:val="36"/>
          <w:szCs w:val="36"/>
          <w:u w:val="none"/>
        </w:rPr>
      </w:pPr>
      <w:r>
        <w:rPr>
          <w:rFonts w:ascii="fang_zheng_xiao_biao_song_ti" w:hAnsi="fang_zheng_xiao_biao_song_ti" w:eastAsia="fang_zheng_xiao_biao_song_ti" w:cs="fang_zheng_xiao_biao_song_ti"/>
          <w:color w:val="auto"/>
          <w:kern w:val="0"/>
          <w:sz w:val="36"/>
          <w:szCs w:val="36"/>
          <w:u w:val="none"/>
        </w:rPr>
        <w:t>第四部分决算公开联系方式及信息反馈渠道</w:t>
      </w:r>
    </w:p>
    <w:p w14:paraId="5AF2C3D3">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p>
    <w:p w14:paraId="5058A889">
      <w:pPr>
        <w:pageBreakBefore w:val="0"/>
        <w:widowControl/>
        <w:kinsoku/>
        <w:wordWrap/>
        <w:overflowPunct/>
        <w:topLinePunct w:val="0"/>
        <w:autoSpaceDE/>
        <w:autoSpaceDN/>
        <w:bidi w:val="0"/>
        <w:spacing w:before="240" w:after="240" w:line="560" w:lineRule="exact"/>
        <w:jc w:val="left"/>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  本单位决算公开信息反馈和联系方式：</w:t>
      </w:r>
    </w:p>
    <w:p w14:paraId="38306914">
      <w:pPr>
        <w:pageBreakBefore w:val="0"/>
        <w:widowControl/>
        <w:kinsoku/>
        <w:wordWrap/>
        <w:overflowPunct/>
        <w:topLinePunct w:val="0"/>
        <w:autoSpaceDE/>
        <w:autoSpaceDN/>
        <w:bidi w:val="0"/>
        <w:spacing w:before="240" w:after="240" w:line="560" w:lineRule="exact"/>
        <w:ind w:firstLine="481"/>
        <w:jc w:val="left"/>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联系人：张娟          联系电话：0478-4666807- </w:t>
      </w:r>
    </w:p>
    <w:p w14:paraId="059D074C">
      <w:pPr>
        <w:pageBreakBefore w:val="0"/>
        <w:widowControl/>
        <w:kinsoku/>
        <w:wordWrap/>
        <w:overflowPunct/>
        <w:topLinePunct w:val="0"/>
        <w:autoSpaceDE/>
        <w:autoSpaceDN/>
        <w:bidi w:val="0"/>
        <w:spacing w:before="240" w:after="240" w:line="560" w:lineRule="exact"/>
        <w:ind w:firstLine="481"/>
        <w:jc w:val="left"/>
        <w:rPr>
          <w:rFonts w:ascii="方正楷体_GB2312" w:hAnsi="方正楷体_GB2312" w:eastAsia="方正楷体_GB2312" w:cs="方正楷体_GB2312"/>
          <w:color w:val="auto"/>
          <w:kern w:val="0"/>
          <w:sz w:val="27"/>
          <w:szCs w:val="27"/>
          <w:u w:val="none"/>
        </w:rPr>
      </w:pPr>
    </w:p>
    <w:p w14:paraId="35D52132">
      <w:pPr>
        <w:pageBreakBefore w:val="0"/>
        <w:widowControl/>
        <w:kinsoku/>
        <w:wordWrap/>
        <w:overflowPunct/>
        <w:topLinePunct w:val="0"/>
        <w:autoSpaceDE/>
        <w:autoSpaceDN/>
        <w:bidi w:val="0"/>
        <w:spacing w:before="240" w:after="240" w:line="560" w:lineRule="exact"/>
        <w:ind w:firstLine="481"/>
        <w:jc w:val="left"/>
        <w:rPr>
          <w:rFonts w:ascii="方正楷体_GB2312" w:hAnsi="方正楷体_GB2312" w:eastAsia="方正楷体_GB2312" w:cs="方正楷体_GB2312"/>
          <w:color w:val="auto"/>
          <w:kern w:val="0"/>
          <w:sz w:val="27"/>
          <w:szCs w:val="27"/>
          <w:u w:val="none"/>
        </w:rPr>
      </w:pPr>
    </w:p>
    <w:p w14:paraId="7044CC1F">
      <w:pPr>
        <w:pageBreakBefore w:val="0"/>
        <w:widowControl/>
        <w:kinsoku/>
        <w:wordWrap/>
        <w:overflowPunct/>
        <w:topLinePunct w:val="0"/>
        <w:autoSpaceDE/>
        <w:autoSpaceDN/>
        <w:bidi w:val="0"/>
        <w:spacing w:before="240" w:after="240" w:line="560" w:lineRule="exact"/>
        <w:ind w:firstLine="481"/>
        <w:jc w:val="left"/>
        <w:rPr>
          <w:rFonts w:ascii="方正楷体_GB2312" w:hAnsi="方正楷体_GB2312" w:eastAsia="方正楷体_GB2312" w:cs="方正楷体_GB2312"/>
          <w:color w:val="auto"/>
          <w:kern w:val="0"/>
          <w:sz w:val="27"/>
          <w:szCs w:val="27"/>
          <w:u w:val="none"/>
        </w:rPr>
      </w:pPr>
    </w:p>
    <w:p w14:paraId="60BFCBC0">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p>
    <w:p w14:paraId="432BB132">
      <w:pPr>
        <w:pageBreakBefore w:val="0"/>
        <w:widowControl/>
        <w:kinsoku/>
        <w:wordWrap/>
        <w:overflowPunct/>
        <w:topLinePunct w:val="0"/>
        <w:autoSpaceDE/>
        <w:autoSpaceDN/>
        <w:bidi w:val="0"/>
        <w:spacing w:before="240" w:after="240" w:line="560" w:lineRule="exact"/>
        <w:jc w:val="center"/>
        <w:rPr>
          <w:rFonts w:ascii="Times New Roman" w:hAnsi="Times New Roman" w:eastAsia="Times New Roman" w:cs="Times New Roman"/>
          <w:color w:val="auto"/>
          <w:kern w:val="0"/>
          <w:sz w:val="24"/>
          <w:u w:val="none"/>
        </w:rPr>
      </w:pPr>
      <w:r>
        <w:rPr>
          <w:rFonts w:ascii="fang_zheng_xiao_biao_song_ti" w:hAnsi="fang_zheng_xiao_biao_song_ti" w:eastAsia="fang_zheng_xiao_biao_song_ti" w:cs="fang_zheng_xiao_biao_song_ti"/>
          <w:b/>
          <w:bCs/>
          <w:color w:val="auto"/>
          <w:kern w:val="0"/>
          <w:sz w:val="36"/>
          <w:szCs w:val="36"/>
          <w:u w:val="none"/>
        </w:rPr>
        <w:t>第五部分</w:t>
      </w:r>
      <w:r>
        <w:rPr>
          <w:rFonts w:hint="eastAsia" w:ascii="fang_zheng_xiao_biao_song_ti" w:hAnsi="fang_zheng_xiao_biao_song_ti" w:eastAsia="宋体" w:cs="fang_zheng_xiao_biao_song_ti"/>
          <w:b/>
          <w:bCs/>
          <w:color w:val="auto"/>
          <w:kern w:val="0"/>
          <w:sz w:val="36"/>
          <w:szCs w:val="36"/>
          <w:u w:val="none"/>
          <w:lang w:eastAsia="zh-CN"/>
        </w:rPr>
        <w:t>单位</w:t>
      </w:r>
      <w:r>
        <w:rPr>
          <w:rFonts w:ascii="fang_zheng_xiao_biao_song_ti" w:hAnsi="fang_zheng_xiao_biao_song_ti" w:eastAsia="fang_zheng_xiao_biao_song_ti" w:cs="fang_zheng_xiao_biao_song_ti"/>
          <w:b/>
          <w:bCs/>
          <w:color w:val="auto"/>
          <w:kern w:val="0"/>
          <w:sz w:val="36"/>
          <w:szCs w:val="36"/>
          <w:u w:val="none"/>
        </w:rPr>
        <w:t>决算表</w:t>
      </w:r>
    </w:p>
    <w:p w14:paraId="2CCCF3C4">
      <w:pPr>
        <w:pageBreakBefore w:val="0"/>
        <w:widowControl/>
        <w:kinsoku/>
        <w:wordWrap/>
        <w:overflowPunct/>
        <w:topLinePunct w:val="0"/>
        <w:autoSpaceDE/>
        <w:autoSpaceDN/>
        <w:bidi w:val="0"/>
        <w:spacing w:before="240" w:after="240" w:line="560" w:lineRule="exact"/>
        <w:jc w:val="center"/>
        <w:rPr>
          <w:rFonts w:ascii="Times New Roman" w:hAnsi="Times New Roman" w:eastAsia="Times New Roman" w:cs="Times New Roman"/>
          <w:color w:val="auto"/>
          <w:kern w:val="0"/>
          <w:sz w:val="24"/>
          <w:u w:val="none"/>
        </w:rPr>
      </w:pPr>
    </w:p>
    <w:p w14:paraId="1EC8CB90">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r>
        <w:rPr>
          <w:rFonts w:ascii="方正楷体_GB2312" w:hAnsi="方正楷体_GB2312" w:eastAsia="方正楷体_GB2312" w:cs="方正楷体_GB2312"/>
          <w:color w:val="auto"/>
          <w:kern w:val="0"/>
          <w:sz w:val="27"/>
          <w:szCs w:val="27"/>
          <w:u w:val="none"/>
        </w:rPr>
        <w:t>  见附件。1</w:t>
      </w:r>
    </w:p>
    <w:p w14:paraId="51B24CB0">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p>
    <w:p w14:paraId="0714C4E9">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p>
    <w:p w14:paraId="600B73FA">
      <w:pPr>
        <w:pageBreakBefore w:val="0"/>
        <w:widowControl/>
        <w:kinsoku/>
        <w:wordWrap/>
        <w:overflowPunct/>
        <w:topLinePunct w:val="0"/>
        <w:autoSpaceDE/>
        <w:autoSpaceDN/>
        <w:bidi w:val="0"/>
        <w:spacing w:before="240" w:after="240" w:line="560" w:lineRule="exact"/>
        <w:jc w:val="left"/>
        <w:rPr>
          <w:rFonts w:ascii="Times New Roman" w:hAnsi="Times New Roman" w:eastAsia="Times New Roman" w:cs="Times New Roman"/>
          <w:color w:val="auto"/>
          <w:kern w:val="0"/>
          <w:sz w:val="24"/>
          <w:u w:val="none"/>
        </w:rPr>
      </w:pPr>
    </w:p>
    <w:bookmarkEnd w:id="0"/>
    <w:p w14:paraId="1D5A011C">
      <w:pPr>
        <w:pageBreakBefore w:val="0"/>
        <w:kinsoku/>
        <w:wordWrap/>
        <w:overflowPunct/>
        <w:topLinePunct w:val="0"/>
        <w:autoSpaceDE/>
        <w:autoSpaceDN/>
        <w:bidi w:val="0"/>
        <w:adjustRightInd w:val="0"/>
        <w:snapToGrid w:val="0"/>
        <w:spacing w:line="560" w:lineRule="exact"/>
        <w:rPr>
          <w:rFonts w:ascii="宋体" w:hAnsi="宋体"/>
          <w:b/>
          <w:color w:val="auto"/>
          <w:sz w:val="32"/>
          <w:szCs w:val="32"/>
          <w:u w:val="none"/>
        </w:rPr>
      </w:pPr>
    </w:p>
    <w:p w14:paraId="16B721BE">
      <w:pPr>
        <w:pageBreakBefore w:val="0"/>
        <w:kinsoku/>
        <w:wordWrap/>
        <w:overflowPunct/>
        <w:topLinePunct w:val="0"/>
        <w:autoSpaceDE/>
        <w:autoSpaceDN/>
        <w:bidi w:val="0"/>
        <w:adjustRightInd w:val="0"/>
        <w:snapToGrid w:val="0"/>
        <w:spacing w:line="560" w:lineRule="exact"/>
        <w:rPr>
          <w:rFonts w:ascii="宋体" w:hAnsi="宋体"/>
          <w:b/>
          <w:color w:val="auto"/>
          <w:sz w:val="32"/>
          <w:szCs w:val="32"/>
          <w:u w:val="none"/>
        </w:rPr>
      </w:pPr>
    </w:p>
    <w:p w14:paraId="064DC7E7">
      <w:pPr>
        <w:pageBreakBefore w:val="0"/>
        <w:tabs>
          <w:tab w:val="left" w:pos="8415"/>
        </w:tabs>
        <w:kinsoku/>
        <w:wordWrap/>
        <w:overflowPunct/>
        <w:topLinePunct w:val="0"/>
        <w:autoSpaceDE/>
        <w:autoSpaceDN/>
        <w:bidi w:val="0"/>
        <w:spacing w:line="560" w:lineRule="exact"/>
        <w:rPr>
          <w:color w:val="auto"/>
          <w:u w:val="none"/>
        </w:rPr>
      </w:pPr>
    </w:p>
    <w:sectPr>
      <w:footerReference r:id="rId4" w:type="default"/>
      <w:pgSz w:w="11906" w:h="16838"/>
      <w:pgMar w:top="1440" w:right="1083" w:bottom="1440" w:left="1083" w:header="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2D9ABC2-3850-4346-9DC5-B89170C5C5C5}"/>
  </w:font>
  <w:font w:name="黑体">
    <w:panose1 w:val="02010609060101010101"/>
    <w:charset w:val="86"/>
    <w:family w:val="auto"/>
    <w:pitch w:val="default"/>
    <w:sig w:usb0="800002BF" w:usb1="38CF7CFA" w:usb2="00000016" w:usb3="00000000" w:csb0="00040001" w:csb1="00000000"/>
    <w:embedRegular r:id="rId2" w:fontKey="{4535D15A-9940-41D8-A18B-5FDF8BF7588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FF8616C2-35AB-4005-B7C8-AE3B187D0F0C}"/>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4" w:fontKey="{03023F67-9505-4850-BB12-9929DD23D0F8}"/>
  </w:font>
  <w:font w:name="仿宋">
    <w:panose1 w:val="02010609060101010101"/>
    <w:charset w:val="86"/>
    <w:family w:val="modern"/>
    <w:pitch w:val="default"/>
    <w:sig w:usb0="800002BF" w:usb1="38CF7CFA" w:usb2="00000016" w:usb3="00000000" w:csb0="00040001" w:csb1="00000000"/>
    <w:embedRegular r:id="rId5" w:fontKey="{ED55E2A3-4EAA-4A80-960B-BA1A8A4F8B64}"/>
  </w:font>
  <w:font w:name="方正楷体_GB2312">
    <w:panose1 w:val="02000000000000000000"/>
    <w:charset w:val="86"/>
    <w:family w:val="auto"/>
    <w:pitch w:val="default"/>
    <w:sig w:usb0="A00002BF" w:usb1="184F6CFA" w:usb2="00000012" w:usb3="00000000" w:csb0="00040001" w:csb1="00000000"/>
    <w:embedRegular r:id="rId6" w:fontKey="{38651A8F-F70E-411D-865B-F81F36727D48}"/>
  </w:font>
  <w:font w:name="times_new_roman">
    <w:altName w:val="Segoe Print"/>
    <w:panose1 w:val="00000000000000000000"/>
    <w:charset w:val="00"/>
    <w:family w:val="auto"/>
    <w:pitch w:val="default"/>
    <w:sig w:usb0="00000000" w:usb1="00000000" w:usb2="00000000" w:usb3="00000000" w:csb0="00000000" w:csb1="00000000"/>
    <w:embedRegular r:id="rId7" w:fontKey="{85A5CBF1-CC6E-493C-B174-571D6315869F}"/>
  </w:font>
  <w:font w:name="fang_zheng_xiao_biao_song_ti">
    <w:altName w:val="Segoe Print"/>
    <w:panose1 w:val="00000000000000000000"/>
    <w:charset w:val="00"/>
    <w:family w:val="auto"/>
    <w:pitch w:val="default"/>
    <w:sig w:usb0="00000000" w:usb1="00000000" w:usb2="00000000" w:usb3="00000000" w:csb0="00000000" w:csb1="00000000"/>
    <w:embedRegular r:id="rId8" w:fontKey="{526BC20C-E2D3-4500-9B10-A77ABD5E0937}"/>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6D71A">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4D134">
    <w:pPr>
      <w:pStyle w:val="12"/>
      <w:jc w:val="center"/>
    </w:pPr>
    <w:r>
      <w:fldChar w:fldCharType="begin"/>
    </w:r>
    <w:r>
      <w:instrText xml:space="preserve"> PAGE   \* MERGEFORMAT </w:instrText>
    </w:r>
    <w:r>
      <w:fldChar w:fldCharType="separate"/>
    </w:r>
    <w:r>
      <w:rPr>
        <w:lang w:val="zh-CN"/>
      </w:rPr>
      <w:t>24</w:t>
    </w:r>
    <w:r>
      <w:rPr>
        <w:lang w:val="zh-CN"/>
      </w:rPr>
      <w:fldChar w:fldCharType="end"/>
    </w:r>
  </w:p>
  <w:p w14:paraId="2E0A9122">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F9DDF1"/>
    <w:multiLevelType w:val="singleLevel"/>
    <w:tmpl w:val="99F9DDF1"/>
    <w:lvl w:ilvl="0" w:tentative="0">
      <w:start w:val="1"/>
      <w:numFmt w:val="decimal"/>
      <w:lvlText w:val="%1."/>
      <w:lvlJc w:val="left"/>
      <w:pPr>
        <w:tabs>
          <w:tab w:val="left" w:pos="312"/>
        </w:tabs>
      </w:pPr>
    </w:lvl>
  </w:abstractNum>
  <w:abstractNum w:abstractNumId="1">
    <w:nsid w:val="9F9B5811"/>
    <w:multiLevelType w:val="singleLevel"/>
    <w:tmpl w:val="9F9B5811"/>
    <w:lvl w:ilvl="0" w:tentative="0">
      <w:start w:val="1"/>
      <w:numFmt w:val="chineseCounting"/>
      <w:suff w:val="nothing"/>
      <w:lvlText w:val="（%1）"/>
      <w:lvlJc w:val="left"/>
      <w:pPr>
        <w:ind w:left="962" w:leftChars="0" w:firstLine="0" w:firstLineChars="0"/>
      </w:pPr>
      <w:rPr>
        <w:rFonts w:hint="eastAsia"/>
      </w:rPr>
    </w:lvl>
  </w:abstractNum>
  <w:abstractNum w:abstractNumId="2">
    <w:nsid w:val="DEA673D9"/>
    <w:multiLevelType w:val="singleLevel"/>
    <w:tmpl w:val="DEA673D9"/>
    <w:lvl w:ilvl="0" w:tentative="0">
      <w:start w:val="1"/>
      <w:numFmt w:val="decimal"/>
      <w:lvlText w:val="%1."/>
      <w:lvlJc w:val="left"/>
      <w:pPr>
        <w:tabs>
          <w:tab w:val="left" w:pos="312"/>
        </w:tabs>
      </w:pPr>
    </w:lvl>
  </w:abstractNum>
  <w:abstractNum w:abstractNumId="3">
    <w:nsid w:val="E292966D"/>
    <w:multiLevelType w:val="singleLevel"/>
    <w:tmpl w:val="E292966D"/>
    <w:lvl w:ilvl="0" w:tentative="0">
      <w:start w:val="3"/>
      <w:numFmt w:val="chineseCounting"/>
      <w:suff w:val="nothing"/>
      <w:lvlText w:val="%1、"/>
      <w:lvlJc w:val="left"/>
      <w:pPr>
        <w:ind w:left="122" w:leftChars="0" w:firstLine="0" w:firstLineChars="0"/>
      </w:pPr>
      <w:rPr>
        <w:rFonts w:hint="eastAsia"/>
      </w:rPr>
    </w:lvl>
  </w:abstractNum>
  <w:abstractNum w:abstractNumId="4">
    <w:nsid w:val="14B34EAA"/>
    <w:multiLevelType w:val="singleLevel"/>
    <w:tmpl w:val="14B34EAA"/>
    <w:lvl w:ilvl="0" w:tentative="0">
      <w:start w:val="1"/>
      <w:numFmt w:val="decimal"/>
      <w:suff w:val="nothing"/>
      <w:lvlText w:val="%1、"/>
      <w:lvlJc w:val="left"/>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A0YTI3ZmQwYWQ3ZGFlZTlmNzU0ZTkwNGQzMzVhYTAifQ=="/>
  </w:docVars>
  <w:rsids>
    <w:rsidRoot w:val="009F0536"/>
    <w:rsid w:val="0000662F"/>
    <w:rsid w:val="00023E75"/>
    <w:rsid w:val="00033C6A"/>
    <w:rsid w:val="00063AC2"/>
    <w:rsid w:val="000774F0"/>
    <w:rsid w:val="0008308B"/>
    <w:rsid w:val="00097269"/>
    <w:rsid w:val="000A769F"/>
    <w:rsid w:val="000D3889"/>
    <w:rsid w:val="0010682D"/>
    <w:rsid w:val="001620BF"/>
    <w:rsid w:val="001814D4"/>
    <w:rsid w:val="00183373"/>
    <w:rsid w:val="001E7634"/>
    <w:rsid w:val="00204509"/>
    <w:rsid w:val="00225D2E"/>
    <w:rsid w:val="0023107E"/>
    <w:rsid w:val="00233241"/>
    <w:rsid w:val="00297C52"/>
    <w:rsid w:val="00300987"/>
    <w:rsid w:val="0030784F"/>
    <w:rsid w:val="00312846"/>
    <w:rsid w:val="00367870"/>
    <w:rsid w:val="00375E79"/>
    <w:rsid w:val="003A4E85"/>
    <w:rsid w:val="003B3EAA"/>
    <w:rsid w:val="00482D36"/>
    <w:rsid w:val="00490629"/>
    <w:rsid w:val="0049507B"/>
    <w:rsid w:val="004A738F"/>
    <w:rsid w:val="004B1589"/>
    <w:rsid w:val="004B721F"/>
    <w:rsid w:val="004D7065"/>
    <w:rsid w:val="004E0B6C"/>
    <w:rsid w:val="005011E1"/>
    <w:rsid w:val="00505A51"/>
    <w:rsid w:val="0051384E"/>
    <w:rsid w:val="00521603"/>
    <w:rsid w:val="00536012"/>
    <w:rsid w:val="0054657E"/>
    <w:rsid w:val="0059054F"/>
    <w:rsid w:val="00596608"/>
    <w:rsid w:val="005B4139"/>
    <w:rsid w:val="005C13AB"/>
    <w:rsid w:val="00667493"/>
    <w:rsid w:val="006C017F"/>
    <w:rsid w:val="006E7255"/>
    <w:rsid w:val="007003B2"/>
    <w:rsid w:val="007402A0"/>
    <w:rsid w:val="00762248"/>
    <w:rsid w:val="00787000"/>
    <w:rsid w:val="007A7BA5"/>
    <w:rsid w:val="007B6706"/>
    <w:rsid w:val="007C1FDD"/>
    <w:rsid w:val="007D6292"/>
    <w:rsid w:val="00857D98"/>
    <w:rsid w:val="00894C48"/>
    <w:rsid w:val="00896385"/>
    <w:rsid w:val="008A10DB"/>
    <w:rsid w:val="008B5455"/>
    <w:rsid w:val="009125DD"/>
    <w:rsid w:val="00954CD9"/>
    <w:rsid w:val="009A5EF3"/>
    <w:rsid w:val="009D6904"/>
    <w:rsid w:val="009E1EE8"/>
    <w:rsid w:val="009E227B"/>
    <w:rsid w:val="009E308A"/>
    <w:rsid w:val="009F0536"/>
    <w:rsid w:val="00A147CF"/>
    <w:rsid w:val="00A270BE"/>
    <w:rsid w:val="00A36C1D"/>
    <w:rsid w:val="00A517A0"/>
    <w:rsid w:val="00A62486"/>
    <w:rsid w:val="00AB013A"/>
    <w:rsid w:val="00AD11A5"/>
    <w:rsid w:val="00AE47F5"/>
    <w:rsid w:val="00AF5F33"/>
    <w:rsid w:val="00B27D51"/>
    <w:rsid w:val="00B32BEE"/>
    <w:rsid w:val="00B373AF"/>
    <w:rsid w:val="00B4208A"/>
    <w:rsid w:val="00B57D7A"/>
    <w:rsid w:val="00B76620"/>
    <w:rsid w:val="00B840CE"/>
    <w:rsid w:val="00B96C3D"/>
    <w:rsid w:val="00BD0928"/>
    <w:rsid w:val="00BE5F73"/>
    <w:rsid w:val="00BF4228"/>
    <w:rsid w:val="00C07A30"/>
    <w:rsid w:val="00C352FF"/>
    <w:rsid w:val="00C44231"/>
    <w:rsid w:val="00CC6B8B"/>
    <w:rsid w:val="00CD3751"/>
    <w:rsid w:val="00D2051A"/>
    <w:rsid w:val="00D96390"/>
    <w:rsid w:val="00E219E7"/>
    <w:rsid w:val="00E60D6A"/>
    <w:rsid w:val="00E73321"/>
    <w:rsid w:val="00E77EC0"/>
    <w:rsid w:val="00E914C1"/>
    <w:rsid w:val="00E97C37"/>
    <w:rsid w:val="00EE533B"/>
    <w:rsid w:val="00F04882"/>
    <w:rsid w:val="00F63327"/>
    <w:rsid w:val="00F80A29"/>
    <w:rsid w:val="00FA7CA5"/>
    <w:rsid w:val="00FD08EC"/>
    <w:rsid w:val="00FD7690"/>
    <w:rsid w:val="058A12BE"/>
    <w:rsid w:val="0AF95DA7"/>
    <w:rsid w:val="152E4644"/>
    <w:rsid w:val="1AE6371B"/>
    <w:rsid w:val="1BE350FC"/>
    <w:rsid w:val="1DEB0E24"/>
    <w:rsid w:val="2443118B"/>
    <w:rsid w:val="24B733F9"/>
    <w:rsid w:val="2AD50F49"/>
    <w:rsid w:val="31D16FBD"/>
    <w:rsid w:val="3DBB06C3"/>
    <w:rsid w:val="41AC721B"/>
    <w:rsid w:val="5C482DF2"/>
    <w:rsid w:val="611F2767"/>
    <w:rsid w:val="65F45B4D"/>
    <w:rsid w:val="6B746B87"/>
    <w:rsid w:val="6DFC72DC"/>
    <w:rsid w:val="6EDA08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1"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29"/>
    <w:qFormat/>
    <w:uiPriority w:val="0"/>
    <w:pPr>
      <w:keepNext/>
      <w:keepLines/>
      <w:spacing w:before="260" w:after="260" w:line="416" w:lineRule="auto"/>
      <w:outlineLvl w:val="2"/>
    </w:pPr>
    <w:rPr>
      <w:b/>
      <w:bCs/>
      <w:sz w:val="32"/>
      <w:szCs w:val="32"/>
    </w:rPr>
  </w:style>
  <w:style w:type="paragraph" w:styleId="6">
    <w:name w:val="heading 4"/>
    <w:basedOn w:val="1"/>
    <w:next w:val="1"/>
    <w:link w:val="24"/>
    <w:qFormat/>
    <w:uiPriority w:val="0"/>
    <w:pPr>
      <w:keepNext/>
      <w:keepLines/>
      <w:spacing w:before="280" w:after="290" w:line="376" w:lineRule="auto"/>
      <w:outlineLvl w:val="3"/>
    </w:pPr>
    <w:rPr>
      <w:rFonts w:ascii="Cambria" w:hAnsi="Cambria"/>
      <w:b/>
      <w:bCs/>
      <w:sz w:val="28"/>
      <w:szCs w:val="28"/>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1"/>
    <w:pPr>
      <w:spacing w:after="120"/>
    </w:pPr>
  </w:style>
  <w:style w:type="paragraph" w:styleId="7">
    <w:name w:val="toc 7"/>
    <w:basedOn w:val="1"/>
    <w:next w:val="1"/>
    <w:autoRedefine/>
    <w:qFormat/>
    <w:uiPriority w:val="0"/>
    <w:pPr>
      <w:ind w:left="1260"/>
      <w:jc w:val="left"/>
    </w:pPr>
    <w:rPr>
      <w:sz w:val="20"/>
      <w:szCs w:val="20"/>
    </w:rPr>
  </w:style>
  <w:style w:type="paragraph" w:styleId="8">
    <w:name w:val="Document Map"/>
    <w:basedOn w:val="1"/>
    <w:qFormat/>
    <w:uiPriority w:val="0"/>
    <w:pPr>
      <w:shd w:val="clear" w:color="auto" w:fill="000080"/>
    </w:pPr>
  </w:style>
  <w:style w:type="paragraph" w:styleId="9">
    <w:name w:val="toc 5"/>
    <w:basedOn w:val="1"/>
    <w:next w:val="1"/>
    <w:autoRedefine/>
    <w:qFormat/>
    <w:uiPriority w:val="0"/>
    <w:pPr>
      <w:ind w:left="840"/>
      <w:jc w:val="left"/>
    </w:pPr>
    <w:rPr>
      <w:sz w:val="20"/>
      <w:szCs w:val="20"/>
    </w:rPr>
  </w:style>
  <w:style w:type="paragraph" w:styleId="10">
    <w:name w:val="toc 3"/>
    <w:basedOn w:val="1"/>
    <w:next w:val="1"/>
    <w:qFormat/>
    <w:uiPriority w:val="0"/>
    <w:pPr>
      <w:adjustRightInd w:val="0"/>
      <w:snapToGrid w:val="0"/>
      <w:spacing w:line="360" w:lineRule="auto"/>
      <w:ind w:firstLine="400" w:firstLineChars="400"/>
      <w:jc w:val="left"/>
    </w:pPr>
    <w:rPr>
      <w:sz w:val="24"/>
      <w:szCs w:val="20"/>
    </w:rPr>
  </w:style>
  <w:style w:type="paragraph" w:styleId="11">
    <w:name w:val="toc 8"/>
    <w:basedOn w:val="1"/>
    <w:next w:val="1"/>
    <w:autoRedefine/>
    <w:qFormat/>
    <w:uiPriority w:val="0"/>
    <w:pPr>
      <w:ind w:left="1470"/>
      <w:jc w:val="left"/>
    </w:pPr>
    <w:rPr>
      <w:sz w:val="20"/>
      <w:szCs w:val="20"/>
    </w:rPr>
  </w:style>
  <w:style w:type="paragraph" w:styleId="12">
    <w:name w:val="footer"/>
    <w:basedOn w:val="1"/>
    <w:link w:val="27"/>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0"/>
    <w:pPr>
      <w:adjustRightInd w:val="0"/>
      <w:snapToGrid w:val="0"/>
      <w:spacing w:line="360" w:lineRule="auto"/>
      <w:jc w:val="left"/>
    </w:pPr>
    <w:rPr>
      <w:b/>
      <w:bCs/>
      <w:sz w:val="24"/>
      <w:szCs w:val="20"/>
    </w:rPr>
  </w:style>
  <w:style w:type="paragraph" w:styleId="15">
    <w:name w:val="toc 4"/>
    <w:basedOn w:val="1"/>
    <w:next w:val="1"/>
    <w:autoRedefine/>
    <w:qFormat/>
    <w:uiPriority w:val="0"/>
    <w:pPr>
      <w:ind w:left="630"/>
      <w:jc w:val="left"/>
    </w:pPr>
    <w:rPr>
      <w:sz w:val="20"/>
      <w:szCs w:val="20"/>
    </w:rPr>
  </w:style>
  <w:style w:type="paragraph" w:styleId="16">
    <w:name w:val="toc 6"/>
    <w:basedOn w:val="1"/>
    <w:next w:val="1"/>
    <w:autoRedefine/>
    <w:qFormat/>
    <w:uiPriority w:val="0"/>
    <w:pPr>
      <w:ind w:left="1050"/>
      <w:jc w:val="left"/>
    </w:pPr>
    <w:rPr>
      <w:sz w:val="20"/>
      <w:szCs w:val="20"/>
    </w:rPr>
  </w:style>
  <w:style w:type="paragraph" w:styleId="17">
    <w:name w:val="toc 2"/>
    <w:basedOn w:val="1"/>
    <w:next w:val="1"/>
    <w:qFormat/>
    <w:uiPriority w:val="0"/>
    <w:pPr>
      <w:adjustRightInd w:val="0"/>
      <w:snapToGrid w:val="0"/>
      <w:spacing w:line="360" w:lineRule="auto"/>
      <w:ind w:firstLine="200" w:firstLineChars="200"/>
      <w:jc w:val="left"/>
    </w:pPr>
    <w:rPr>
      <w:iCs/>
      <w:sz w:val="24"/>
      <w:szCs w:val="20"/>
    </w:rPr>
  </w:style>
  <w:style w:type="paragraph" w:styleId="18">
    <w:name w:val="toc 9"/>
    <w:basedOn w:val="1"/>
    <w:next w:val="1"/>
    <w:autoRedefine/>
    <w:qFormat/>
    <w:uiPriority w:val="0"/>
    <w:pPr>
      <w:ind w:left="1680"/>
      <w:jc w:val="left"/>
    </w:pPr>
    <w:rPr>
      <w:sz w:val="20"/>
      <w:szCs w:val="20"/>
    </w:rPr>
  </w:style>
  <w:style w:type="character" w:styleId="21">
    <w:name w:val="page number"/>
    <w:basedOn w:val="20"/>
    <w:qFormat/>
    <w:uiPriority w:val="0"/>
  </w:style>
  <w:style w:type="character" w:styleId="22">
    <w:name w:val="Hyperlink"/>
    <w:basedOn w:val="20"/>
    <w:qFormat/>
    <w:uiPriority w:val="0"/>
    <w:rPr>
      <w:color w:val="0000FF"/>
      <w:u w:val="single"/>
    </w:rPr>
  </w:style>
  <w:style w:type="paragraph" w:customStyle="1" w:styleId="23">
    <w:name w:val="列出段落1"/>
    <w:qFormat/>
    <w:uiPriority w:val="0"/>
    <w:pPr>
      <w:widowControl w:val="0"/>
      <w:ind w:firstLine="420" w:firstLineChars="200"/>
      <w:jc w:val="both"/>
    </w:pPr>
    <w:rPr>
      <w:rFonts w:ascii="Calibri" w:hAnsi="Calibri" w:eastAsia="宋体" w:cs="宋体"/>
      <w:b/>
      <w:kern w:val="2"/>
      <w:sz w:val="30"/>
      <w:szCs w:val="22"/>
      <w:lang w:val="en-US" w:eastAsia="zh-CN" w:bidi="ar-SA"/>
    </w:rPr>
  </w:style>
  <w:style w:type="character" w:customStyle="1" w:styleId="24">
    <w:name w:val="标题 4 字符"/>
    <w:basedOn w:val="20"/>
    <w:link w:val="6"/>
    <w:qFormat/>
    <w:uiPriority w:val="0"/>
    <w:rPr>
      <w:rFonts w:ascii="Cambria" w:hAnsi="Cambria"/>
      <w:b/>
      <w:bCs/>
      <w:kern w:val="2"/>
      <w:sz w:val="28"/>
      <w:szCs w:val="28"/>
    </w:rPr>
  </w:style>
  <w:style w:type="paragraph" w:styleId="25">
    <w:name w:val="No Spacing"/>
    <w:link w:val="26"/>
    <w:qFormat/>
    <w:uiPriority w:val="0"/>
    <w:pPr>
      <w:ind w:firstLine="200" w:firstLineChars="200"/>
    </w:pPr>
    <w:rPr>
      <w:rFonts w:ascii="Times New Roman" w:hAnsi="Times New Roman" w:eastAsia="仿宋_GB2312" w:cs="Times New Roman"/>
      <w:sz w:val="30"/>
      <w:szCs w:val="22"/>
      <w:lang w:val="en-US" w:eastAsia="zh-CN" w:bidi="ar-SA"/>
    </w:rPr>
  </w:style>
  <w:style w:type="character" w:customStyle="1" w:styleId="26">
    <w:name w:val="无间隔 字符"/>
    <w:link w:val="25"/>
    <w:qFormat/>
    <w:locked/>
    <w:uiPriority w:val="0"/>
    <w:rPr>
      <w:rFonts w:eastAsia="仿宋_GB2312"/>
      <w:sz w:val="30"/>
      <w:szCs w:val="22"/>
      <w:lang w:bidi="ar-SA"/>
    </w:rPr>
  </w:style>
  <w:style w:type="character" w:customStyle="1" w:styleId="27">
    <w:name w:val="页脚 字符"/>
    <w:basedOn w:val="20"/>
    <w:link w:val="12"/>
    <w:qFormat/>
    <w:uiPriority w:val="0"/>
    <w:rPr>
      <w:kern w:val="2"/>
      <w:sz w:val="18"/>
      <w:szCs w:val="18"/>
    </w:rPr>
  </w:style>
  <w:style w:type="paragraph" w:styleId="28">
    <w:name w:val="List Paragraph"/>
    <w:basedOn w:val="1"/>
    <w:qFormat/>
    <w:uiPriority w:val="0"/>
    <w:pPr>
      <w:ind w:firstLine="420" w:firstLineChars="200"/>
    </w:pPr>
  </w:style>
  <w:style w:type="character" w:customStyle="1" w:styleId="29">
    <w:name w:val="标题 3 字符"/>
    <w:basedOn w:val="20"/>
    <w:link w:val="5"/>
    <w:qFormat/>
    <w:uiPriority w:val="0"/>
    <w:rPr>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spc="0" baseline="0">
                <a:solidFill>
                  <a:schemeClr val="tx1"/>
                </a:solidFill>
                <a:latin typeface="+mn-lt"/>
                <a:ea typeface="+mn-ea"/>
                <a:cs typeface="+mn-cs"/>
              </a:defRPr>
            </a:pPr>
            <a:r>
              <a:t>收入</a:t>
            </a:r>
          </a:p>
        </c:rich>
      </c:tx>
      <c:layout/>
      <c:overlay val="0"/>
      <c:spPr>
        <a:noFill/>
        <a:ln>
          <a:noFill/>
        </a:ln>
        <a:effectLst/>
      </c:spPr>
    </c:title>
    <c:autoTitleDeleted val="0"/>
    <c:plotArea>
      <c:layout/>
      <c:pieChart>
        <c:varyColors val="1"/>
        <c:ser>
          <c:idx val="0"/>
          <c:order val="0"/>
          <c:tx>
            <c:strRef>
              <c:f>Sheet1!$B$1</c:f>
              <c:strCache>
                <c:ptCount val="1"/>
                <c:pt idx="0">
                  <c:v>收入</c:v>
                </c:pt>
              </c:strCache>
            </c:strRef>
          </c:tx>
          <c:spPr>
            <a:ln w="15875">
              <a:solidFill>
                <a:schemeClr val="bg1"/>
              </a:solidFill>
            </a:ln>
            <a:effectLst>
              <a:outerShdw blurRad="50800" dist="38100" dir="2700000" algn="tl" rotWithShape="0">
                <a:prstClr val="black">
                  <a:alpha val="40000"/>
                </a:prstClr>
              </a:outerShdw>
            </a:effectLst>
            <a:sp3d contourW="15875"/>
          </c:spPr>
          <c:explosion val="0"/>
          <c:dPt>
            <c:idx val="0"/>
            <c:bubble3D val="0"/>
            <c:spPr>
              <a:gradFill>
                <a:gsLst>
                  <a:gs pos="0">
                    <a:schemeClr val="accent6">
                      <a:lumMod val="60000"/>
                      <a:lumOff val="40000"/>
                    </a:schemeClr>
                  </a:gs>
                  <a:gs pos="83000">
                    <a:schemeClr val="accent6"/>
                  </a:gs>
                </a:gsLst>
                <a:lin ang="2700000"/>
              </a:gradFill>
              <a:ln w="15875">
                <a:solidFill>
                  <a:schemeClr val="bg1"/>
                </a:solidFill>
              </a:ln>
              <a:effectLst>
                <a:outerShdw blurRad="50800" dist="38100" dir="2700000" algn="tl" rotWithShape="0">
                  <a:schemeClr val="accent6">
                    <a:lumMod val="50000"/>
                    <a:alpha val="40000"/>
                  </a:schemeClr>
                </a:outerShdw>
              </a:effectLst>
              <a:sp3d contourW="15875"/>
            </c:spPr>
          </c:dPt>
          <c:dPt>
            <c:idx val="1"/>
            <c:bubble3D val="0"/>
            <c:spPr>
              <a:gradFill>
                <a:gsLst>
                  <a:gs pos="0">
                    <a:schemeClr val="accent3">
                      <a:lumMod val="60000"/>
                      <a:lumOff val="40000"/>
                    </a:schemeClr>
                  </a:gs>
                  <a:gs pos="83000">
                    <a:schemeClr val="accent3"/>
                  </a:gs>
                </a:gsLst>
                <a:lin ang="2700000"/>
              </a:gradFill>
              <a:ln w="15875">
                <a:solidFill>
                  <a:schemeClr val="bg1"/>
                </a:solidFill>
              </a:ln>
              <a:effectLst>
                <a:outerShdw blurRad="50800" dist="38100" dir="2700000" algn="tl" rotWithShape="0">
                  <a:schemeClr val="accent2">
                    <a:lumMod val="50000"/>
                    <a:alpha val="40000"/>
                  </a:schemeClr>
                </a:outerShdw>
              </a:effectLst>
              <a:sp3d contourW="15875"/>
            </c:spPr>
          </c:dPt>
          <c:dPt>
            <c:idx val="2"/>
            <c:bubble3D val="0"/>
            <c:spPr>
              <a:gradFill>
                <a:gsLst>
                  <a:gs pos="0">
                    <a:schemeClr val="accent5">
                      <a:lumMod val="60000"/>
                      <a:lumOff val="40000"/>
                    </a:schemeClr>
                  </a:gs>
                  <a:gs pos="83000">
                    <a:schemeClr val="accent5"/>
                  </a:gs>
                </a:gsLst>
                <a:lin ang="2700000"/>
              </a:gradFill>
              <a:ln w="19050">
                <a:solidFill>
                  <a:schemeClr val="bg1"/>
                </a:solidFill>
              </a:ln>
              <a:effectLst>
                <a:outerShdw blurRad="50800" dist="38100" dir="2700000" algn="tl" rotWithShape="0">
                  <a:schemeClr val="accent5">
                    <a:lumMod val="50000"/>
                    <a:alpha val="40000"/>
                  </a:schemeClr>
                </a:outerShdw>
              </a:effectLst>
              <a:sp3d contourW="19050"/>
            </c:spPr>
          </c:dPt>
          <c:dPt>
            <c:idx val="3"/>
            <c:bubble3D val="0"/>
            <c:spPr>
              <a:solidFill>
                <a:schemeClr val="accent4"/>
              </a:solidFill>
              <a:ln w="15875">
                <a:solidFill>
                  <a:schemeClr val="bg1"/>
                </a:solidFill>
              </a:ln>
              <a:effectLst>
                <a:outerShdw blurRad="50800" dist="38100" dir="2700000" algn="tl" rotWithShape="0">
                  <a:prstClr val="black">
                    <a:alpha val="40000"/>
                  </a:prstClr>
                </a:outerShdw>
              </a:effectLst>
              <a:sp3d contourW="15875"/>
            </c:spPr>
          </c:dPt>
          <c:dPt>
            <c:idx val="4"/>
            <c:bubble3D val="0"/>
            <c:spPr>
              <a:solidFill>
                <a:schemeClr val="accent5"/>
              </a:solidFill>
              <a:ln w="15875">
                <a:solidFill>
                  <a:schemeClr val="bg1"/>
                </a:solidFill>
              </a:ln>
              <a:effectLst>
                <a:outerShdw blurRad="50800" dist="38100" dir="2700000" algn="tl" rotWithShape="0">
                  <a:prstClr val="black">
                    <a:alpha val="40000"/>
                  </a:prstClr>
                </a:outerShdw>
              </a:effectLst>
              <a:sp3d contourW="15875"/>
            </c:spPr>
          </c:dPt>
          <c:dPt>
            <c:idx val="5"/>
            <c:bubble3D val="0"/>
            <c:spPr>
              <a:solidFill>
                <a:schemeClr val="accent6"/>
              </a:solidFill>
              <a:ln w="15875">
                <a:solidFill>
                  <a:schemeClr val="bg1"/>
                </a:solidFill>
              </a:ln>
              <a:effectLst>
                <a:outerShdw blurRad="50800" dist="38100" dir="2700000" algn="tl" rotWithShape="0">
                  <a:prstClr val="black">
                    <a:alpha val="40000"/>
                  </a:prstClr>
                </a:outerShdw>
              </a:effectLst>
              <a:sp3d contourW="15875"/>
            </c:spPr>
          </c:dPt>
          <c:dPt>
            <c:idx val="6"/>
            <c:bubble3D val="0"/>
            <c:spPr>
              <a:solidFill>
                <a:schemeClr val="accent1">
                  <a:lumMod val="60000"/>
                </a:schemeClr>
              </a:solidFill>
              <a:ln w="15875">
                <a:solidFill>
                  <a:schemeClr val="bg1"/>
                </a:solidFill>
              </a:ln>
              <a:effectLst>
                <a:outerShdw blurRad="50800" dist="38100" dir="2700000" algn="tl" rotWithShape="0">
                  <a:prstClr val="black">
                    <a:alpha val="40000"/>
                  </a:prstClr>
                </a:outerShdw>
              </a:effectLst>
              <a:sp3d contourW="15875"/>
            </c:spPr>
          </c:dPt>
          <c:dPt>
            <c:idx val="7"/>
            <c:bubble3D val="0"/>
            <c:spPr>
              <a:solidFill>
                <a:schemeClr val="accent2">
                  <a:lumMod val="60000"/>
                </a:schemeClr>
              </a:solidFill>
              <a:ln w="15875">
                <a:solidFill>
                  <a:schemeClr val="bg1"/>
                </a:solidFill>
              </a:ln>
              <a:effectLst>
                <a:outerShdw blurRad="50800" dist="38100" dir="2700000" algn="tl" rotWithShape="0">
                  <a:prstClr val="black">
                    <a:alpha val="40000"/>
                  </a:prstClr>
                </a:outerShdw>
              </a:effectLst>
              <a:sp3d contourW="15875"/>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bg1"/>
                    </a:solidFill>
                    <a:effectLst/>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一般公共预算财政拨款</c:v>
                </c:pt>
                <c:pt idx="1">
                  <c:v>政府性基金预算财政拨款</c:v>
                </c:pt>
                <c:pt idx="2">
                  <c:v>国有资本经营预算财政拨款</c:v>
                </c:pt>
                <c:pt idx="3">
                  <c:v>上级补助</c:v>
                </c:pt>
                <c:pt idx="4">
                  <c:v>事业收入</c:v>
                </c:pt>
                <c:pt idx="5">
                  <c:v>经营收入</c:v>
                </c:pt>
                <c:pt idx="6">
                  <c:v>附属单位上缴收入</c:v>
                </c:pt>
                <c:pt idx="7">
                  <c:v>其他收入</c:v>
                </c:pt>
              </c:strCache>
            </c:strRef>
          </c:cat>
          <c:val>
            <c:numRef>
              <c:f>Sheet1!$B$2:$B$9</c:f>
              <c:numCache>
                <c:formatCode>General</c:formatCode>
                <c:ptCount val="8"/>
                <c:pt idx="0">
                  <c:v>429.99</c:v>
                </c:pt>
                <c:pt idx="1">
                  <c:v>0</c:v>
                </c:pt>
                <c:pt idx="2">
                  <c:v>0</c:v>
                </c:pt>
                <c:pt idx="3">
                  <c:v>0</c:v>
                </c:pt>
                <c:pt idx="4">
                  <c:v>0</c:v>
                </c:pt>
                <c:pt idx="5">
                  <c:v>0</c:v>
                </c:pt>
                <c:pt idx="6">
                  <c:v>0</c:v>
                </c:pt>
                <c:pt idx="7">
                  <c:v>0</c:v>
                </c:pt>
              </c:numCache>
            </c:numRef>
          </c:val>
        </c:ser>
        <c:dLbls>
          <c:showLegendKey val="0"/>
          <c:showVal val="1"/>
          <c:showCatName val="0"/>
          <c:showSerName val="0"/>
          <c:showPercent val="0"/>
          <c:showBubbleSize val="0"/>
          <c:showLeaderLines val="1"/>
        </c:dLbls>
        <c:firstSliceAng val="36"/>
      </c:pieChart>
      <c:spPr>
        <a:noFill/>
        <a:ln>
          <a:noFill/>
        </a:ln>
        <a:effectLst/>
      </c:spPr>
    </c:plotArea>
    <c:legend>
      <c:legendPos val="r"/>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50000"/>
                  <a:lumOff val="50000"/>
                </a:schemeClr>
              </a:solidFill>
              <a:latin typeface="+mn-lt"/>
              <a:ea typeface="+mn-ea"/>
              <a:cs typeface="+mn-cs"/>
            </a:defRPr>
          </a:pPr>
        </a:p>
      </c:txPr>
    </c:legend>
    <c:plotVisOnly val="1"/>
    <c:dispBlanksAs val="gap"/>
    <c:showDLblsOverMax val="0"/>
    <c:extLst>
      <c:ext uri="{0b15fc19-7d7d-44ad-8c2d-2c3a37ce22c3}">
        <chartProps xmlns="https://web.wps.cn/et/2018/main" chartId="{e9e79bde-7f5f-4f75-9920-591f828634f7}"/>
      </c:ext>
    </c:extLst>
  </c:chart>
  <c:spPr>
    <a:solidFill>
      <a:schemeClr val="bg1"/>
    </a:solidFill>
    <a:ln w="9525" cap="flat" cmpd="sng" algn="ctr">
      <a:solidFill>
        <a:schemeClr val="bg1">
          <a:lumMod val="85000"/>
        </a:schemeClr>
      </a:solidFill>
      <a:round/>
    </a:ln>
    <a:effectLst>
      <a:outerShdw blurRad="63500" dist="37357" dir="2700000" sx="0" sy="0" rotWithShape="0">
        <a:scrgbClr r="0" g="0" b="0"/>
      </a:outerShdw>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elete val="1"/>
          </c:dLbls>
          <c:cat>
            <c:strRef>
              <c:f>Sheet1!$A$2:$A$6</c:f>
              <c:strCache>
                <c:ptCount val="5"/>
                <c:pt idx="0">
                  <c:v>本年基本支出</c:v>
                </c:pt>
                <c:pt idx="1">
                  <c:v>本年项目支出</c:v>
                </c:pt>
                <c:pt idx="2">
                  <c:v>本年上缴上级支出</c:v>
                </c:pt>
                <c:pt idx="3">
                  <c:v>本年经营支出</c:v>
                </c:pt>
                <c:pt idx="4">
                  <c:v>本年对附属单位补助支出</c:v>
                </c:pt>
              </c:strCache>
            </c:strRef>
          </c:cat>
          <c:val>
            <c:numRef>
              <c:f>Sheet1!$B$2:$B$6</c:f>
              <c:numCache>
                <c:formatCode>General</c:formatCode>
                <c:ptCount val="5"/>
                <c:pt idx="0">
                  <c:v>424.01</c:v>
                </c:pt>
                <c:pt idx="1">
                  <c:v>5.99</c:v>
                </c:pt>
                <c:pt idx="2">
                  <c:v>0</c:v>
                </c:pt>
                <c:pt idx="3">
                  <c:v>0</c:v>
                </c:pt>
                <c:pt idx="4">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33447e-7387-4bbd-9b3b-745a9a45d7e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8">
    <a:dk1>
      <a:srgbClr val="000000"/>
    </a:dk1>
    <a:lt1>
      <a:srgbClr val="FFFFFF"/>
    </a:lt1>
    <a:dk2>
      <a:srgbClr val="372824"/>
    </a:dk2>
    <a:lt2>
      <a:srgbClr val="FFFFFF"/>
    </a:lt2>
    <a:accent1>
      <a:srgbClr val="FFE84B"/>
    </a:accent1>
    <a:accent2>
      <a:srgbClr val="FFC529"/>
    </a:accent2>
    <a:accent3>
      <a:srgbClr val="FF9F15"/>
    </a:accent3>
    <a:accent4>
      <a:srgbClr val="FA7C00"/>
    </a:accent4>
    <a:accent5>
      <a:srgbClr val="FC6500"/>
    </a:accent5>
    <a:accent6>
      <a:srgbClr val="BE4828"/>
    </a:accent6>
    <a:hlink>
      <a:srgbClr val="F46B1C"/>
    </a:hlink>
    <a:folHlink>
      <a:srgbClr val="C2361E"/>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r="http://schemas.openxmlformats.org/officeDocument/2006/relationships" xmlns:w="http://schemas.openxmlformats.org/wordprocessingml/2006/main" xmlns:w15="http://schemas.microsoft.com/office/word/2012/wordml"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B57559B6-2DC7-41B5-818F-6E7F243775C0}">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28</Pages>
  <Words>8177</Words>
  <Characters>9143</Characters>
  <Lines>1</Lines>
  <Paragraphs>1</Paragraphs>
  <TotalTime>39</TotalTime>
  <ScaleCrop>false</ScaleCrop>
  <LinksUpToDate>false</LinksUpToDate>
  <CharactersWithSpaces>9255</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2022-03-23T12:40:00Z</dcterms:created>
  <dc:creator>Administrator</dc:creator>
  <cp:lastModifiedBy>[太阳]15540166092</cp:lastModifiedBy>
  <cp:lastPrinted>2024-10-16T08:16:00Z</cp:lastPrinted>
  <dcterms:modified xsi:type="dcterms:W3CDTF">2024-10-29T07:27:46Z</dcterms:modified>
  <dc:title>××年度××部门/单位</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3A68F84613B94F00A3B99ACCF3C1F36F_13</vt:lpwstr>
  </property>
</Properties>
</file>