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90463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"https://mp.weixin.qq.com/s/dbltCJmfxrmY4qVttEd6fA"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https://mp.weixin.qq.com/s/dbltCJmfxrmY4qVttEd6fA</w:t>
      </w:r>
      <w:r>
        <w:rPr>
          <w:rFonts w:hint="eastAsia"/>
        </w:rPr>
        <w:fldChar w:fldCharType="end"/>
      </w:r>
    </w:p>
    <w:p w14:paraId="120BA6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  <w:bdr w:val="none" w:color="auto" w:sz="0" w:space="0"/>
          <w:shd w:val="clear" w:fill="FFFFFF"/>
        </w:rPr>
        <w:t>乌拉特中旗营商环境信用环境工作推进会暨十公示培训会</w:t>
      </w:r>
    </w:p>
    <w:p w14:paraId="5B6F24F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为营造有利于营商环境建设发展的社会环境和氛围，全面推动优化营商环境信用环境工作的深入开展，2024年10月25日，召开乌拉特中旗营商环境信用环境工作推进会暨十公示培训会。</w:t>
      </w:r>
      <w:bookmarkStart w:id="0" w:name="_GoBack"/>
      <w:bookmarkEnd w:id="0"/>
    </w:p>
    <w:p w14:paraId="462F22D2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71110" cy="3258820"/>
            <wp:effectExtent l="0" t="0" r="381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3258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85707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会议要求，各部门提高认识，调度信用监管指标情况，分析存在的短板弱项，安排部署下步重点任务。同时，对相关部门“十公示”信息录入开展培训。</w:t>
      </w:r>
    </w:p>
    <w:p w14:paraId="0578757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会议强调，各相关单位要高度重视，切实增强做好工作的责任感，加强部门间的协作配合，对年度考核指标认真抓好落实。要认真分析本部门主要指标进展情况，坚持问题导向，及时查漏补缺，全面完成全年目标任务。</w:t>
      </w:r>
    </w:p>
    <w:p w14:paraId="0DCE63BF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YTUzYzQyMTU4ZWIxN2EyNWFlNmU4NzQyODJlOWQifQ=="/>
  </w:docVars>
  <w:rsids>
    <w:rsidRoot w:val="1681028C"/>
    <w:rsid w:val="1681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2024-10-30T08:18:00Z</dcterms:created>
  <dc:creator>_幸运</dc:creator>
  <cp:lastModifiedBy>_幸运</cp:lastModifiedBy>
  <dcterms:modified xsi:type="dcterms:W3CDTF">2024-10-30T08:19:35Z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A80AFDEC42794E3BAE4A1E727222F1BC_11</vt:lpwstr>
  </property>
</Properties>
</file>