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3FC5DE">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0" w:firstLineChars="0"/>
        <w:textAlignment w:val="auto"/>
        <w:rPr>
          <w:rFonts w:hint="eastAsia" w:ascii="Calibri" w:hAnsi="Calibri" w:eastAsia="仿宋" w:cs="Times New Roman"/>
          <w:kern w:val="2"/>
          <w:sz w:val="32"/>
          <w:szCs w:val="24"/>
          <w:lang w:val="en-US" w:eastAsia="zh-CN" w:bidi="ar-SA"/>
        </w:rPr>
      </w:pPr>
      <w:bookmarkStart w:id="0" w:name="_GoBack"/>
      <w:bookmarkEnd w:id="0"/>
    </w:p>
    <w:p w14:paraId="20A5E141">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0" w:firstLineChars="0"/>
        <w:textAlignment w:val="auto"/>
        <w:rPr>
          <w:rFonts w:hint="eastAsia" w:ascii="方正小标宋简体" w:hAnsi="方正小标宋简体" w:eastAsia="方正小标宋简体" w:cs="方正小标宋简体"/>
          <w:b w:val="0"/>
          <w:bCs/>
          <w:kern w:val="44"/>
          <w:sz w:val="44"/>
          <w:szCs w:val="24"/>
          <w:lang w:val="en-US" w:eastAsia="zh-CN" w:bidi="ar-SA"/>
        </w:rPr>
      </w:pPr>
    </w:p>
    <w:p w14:paraId="403BA669">
      <w:pPr>
        <w:keepNext w:val="0"/>
        <w:keepLines w:val="0"/>
        <w:pageBreakBefore w:val="0"/>
        <w:widowControl w:val="0"/>
        <w:kinsoku/>
        <w:wordWrap/>
        <w:overflowPunct/>
        <w:topLinePunct w:val="0"/>
        <w:autoSpaceDE/>
        <w:autoSpaceDN/>
        <w:bidi w:val="0"/>
        <w:adjustRightInd w:val="0"/>
        <w:snapToGrid w:val="0"/>
        <w:spacing w:line="312" w:lineRule="auto"/>
        <w:ind w:left="3080" w:leftChars="0" w:hanging="3080" w:hangingChars="700"/>
        <w:textAlignment w:val="auto"/>
        <w:rPr>
          <w:rFonts w:hint="eastAsia" w:ascii="方正小标宋简体" w:hAnsi="方正小标宋简体" w:eastAsia="方正小标宋简体" w:cs="方正小标宋简体"/>
          <w:b w:val="0"/>
          <w:bCs/>
          <w:kern w:val="44"/>
          <w:sz w:val="44"/>
          <w:szCs w:val="24"/>
          <w:lang w:val="en-US" w:eastAsia="zh-CN" w:bidi="ar-SA"/>
        </w:rPr>
      </w:pPr>
    </w:p>
    <w:p w14:paraId="44685CB4">
      <w:pPr>
        <w:keepNext w:val="0"/>
        <w:keepLines w:val="0"/>
        <w:pageBreakBefore w:val="0"/>
        <w:widowControl w:val="0"/>
        <w:kinsoku/>
        <w:wordWrap/>
        <w:overflowPunct/>
        <w:topLinePunct w:val="0"/>
        <w:autoSpaceDE/>
        <w:autoSpaceDN/>
        <w:bidi w:val="0"/>
        <w:adjustRightInd w:val="0"/>
        <w:snapToGrid w:val="0"/>
        <w:spacing w:line="312" w:lineRule="auto"/>
        <w:ind w:left="3080" w:leftChars="0" w:hanging="3080" w:hangingChars="700"/>
        <w:textAlignment w:val="auto"/>
        <w:rPr>
          <w:rFonts w:hint="eastAsia" w:ascii="方正小标宋简体" w:hAnsi="方正小标宋简体" w:eastAsia="方正小标宋简体" w:cs="方正小标宋简体"/>
          <w:b w:val="0"/>
          <w:bCs/>
          <w:kern w:val="44"/>
          <w:sz w:val="44"/>
          <w:szCs w:val="24"/>
          <w:lang w:val="en-US" w:eastAsia="zh-CN" w:bidi="ar-SA"/>
        </w:rPr>
      </w:pPr>
    </w:p>
    <w:p w14:paraId="0685D96F">
      <w:pPr>
        <w:keepNext w:val="0"/>
        <w:keepLines w:val="0"/>
        <w:pageBreakBefore w:val="0"/>
        <w:widowControl w:val="0"/>
        <w:kinsoku/>
        <w:wordWrap/>
        <w:overflowPunct/>
        <w:topLinePunct w:val="0"/>
        <w:autoSpaceDE/>
        <w:autoSpaceDN/>
        <w:bidi w:val="0"/>
        <w:adjustRightInd w:val="0"/>
        <w:snapToGrid w:val="0"/>
        <w:spacing w:line="312" w:lineRule="auto"/>
        <w:ind w:left="3080" w:leftChars="0" w:hanging="3080" w:hangingChars="700"/>
        <w:textAlignment w:val="auto"/>
        <w:rPr>
          <w:rFonts w:hint="default" w:ascii="方正小标宋简体" w:hAnsi="方正小标宋简体" w:eastAsia="方正小标宋简体" w:cs="方正小标宋简体"/>
          <w:b w:val="0"/>
          <w:bCs/>
          <w:kern w:val="44"/>
          <w:sz w:val="44"/>
          <w:szCs w:val="24"/>
          <w:lang w:val="en-US" w:eastAsia="zh-CN" w:bidi="ar-SA"/>
        </w:rPr>
      </w:pPr>
      <w:r>
        <w:rPr>
          <w:rFonts w:hint="eastAsia" w:ascii="方正小标宋简体" w:hAnsi="方正小标宋简体" w:eastAsia="方正小标宋简体" w:cs="方正小标宋简体"/>
          <w:b w:val="0"/>
          <w:bCs/>
          <w:kern w:val="44"/>
          <w:sz w:val="44"/>
          <w:szCs w:val="24"/>
          <w:lang w:val="en-US" w:eastAsia="zh-CN" w:bidi="ar-SA"/>
        </w:rPr>
        <w:t>同和太种畜繁育中心2024年度政府信息公开工作年度报告</w:t>
      </w:r>
    </w:p>
    <w:p w14:paraId="59FC580C">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0" w:firstLineChars="0"/>
        <w:textAlignment w:val="auto"/>
        <w:rPr>
          <w:rFonts w:hint="eastAsia" w:ascii="Calibri" w:hAnsi="Calibri" w:eastAsia="仿宋" w:cs="Times New Roman"/>
          <w:kern w:val="2"/>
          <w:sz w:val="32"/>
          <w:szCs w:val="24"/>
          <w:lang w:val="en-US" w:eastAsia="zh-CN" w:bidi="ar-SA"/>
        </w:rPr>
      </w:pPr>
    </w:p>
    <w:p w14:paraId="096A1E2C">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640" w:firstLineChars="200"/>
        <w:textAlignment w:val="auto"/>
        <w:rPr>
          <w:rFonts w:hint="eastAsia" w:ascii="Calibri" w:hAnsi="Calibri" w:eastAsia="仿宋" w:cs="Times New Roman"/>
          <w:kern w:val="2"/>
          <w:sz w:val="32"/>
          <w:szCs w:val="24"/>
          <w:lang w:val="en-US" w:eastAsia="zh-CN" w:bidi="ar-SA"/>
        </w:rPr>
      </w:pPr>
      <w:r>
        <w:rPr>
          <w:rFonts w:hint="eastAsia" w:ascii="Calibri" w:hAnsi="Calibri" w:eastAsia="仿宋" w:cs="Times New Roman"/>
          <w:kern w:val="2"/>
          <w:sz w:val="32"/>
          <w:szCs w:val="24"/>
          <w:lang w:val="en-US" w:eastAsia="zh-CN" w:bidi="ar-SA"/>
        </w:rPr>
        <w:t>一、总体情况</w:t>
      </w:r>
    </w:p>
    <w:p w14:paraId="162E7E09">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640" w:firstLineChars="200"/>
        <w:textAlignment w:val="auto"/>
        <w:rPr>
          <w:rFonts w:hint="default" w:ascii="Calibri" w:hAnsi="Calibri" w:eastAsia="仿宋" w:cs="Times New Roman"/>
          <w:kern w:val="2"/>
          <w:sz w:val="32"/>
          <w:szCs w:val="24"/>
          <w:lang w:val="en-US" w:eastAsia="zh-CN" w:bidi="ar-SA"/>
        </w:rPr>
      </w:pPr>
      <w:r>
        <w:rPr>
          <w:rFonts w:hint="eastAsia" w:ascii="Calibri" w:hAnsi="Calibri" w:eastAsia="仿宋" w:cs="Times New Roman"/>
          <w:kern w:val="2"/>
          <w:sz w:val="32"/>
          <w:szCs w:val="24"/>
          <w:lang w:val="en-US" w:eastAsia="zh-CN" w:bidi="ar-SA"/>
        </w:rPr>
        <w:t>根据《中华人民共和国政府信息公开条例》（以下简称《条例》）,结合我中心实际，对2024年度政府信息公开工作进行了梳理、统计和总结，并向全社会公开。2024年，中心以习近平新时代中国特色社会主义思想为指导，全面贯彻党的二十大精神，紧紧围绕“产业规划、区域布局、项目建设、招商引资”旗域经济总体思路，扎实推动“三大攻坚战”“四争”“五大创建”等重点工作稳固落实。同和太种畜繁育中心继续以习近平新时代中国特色社会主义思想指导，认真贯彻上级部门关于各类政务信息公开文件的指示要求，积极主动回应社会关切，有序推进信息公开工作开展，现将工作开展情况报告如下.对2024年度政府信息公开工作进行了梳理、统计和总结，并向全社会公开。报告统计期限为2024年1月1日起至2024年12月31日为止，该报告在乌拉特中旗人民政府网站上公布，网址：（http://www.wltzq.gov.cn/），如对本年度工作报告有疑问，请与乌拉特中旗同和太种畜繁育中心联系（电话：0478-5915483）。</w:t>
      </w:r>
    </w:p>
    <w:p w14:paraId="6FB2DFD8">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0" w:firstLineChars="0"/>
        <w:textAlignment w:val="auto"/>
        <w:rPr>
          <w:rFonts w:hint="eastAsia" w:ascii="Calibri" w:hAnsi="Calibri" w:eastAsia="仿宋" w:cs="Times New Roman"/>
          <w:kern w:val="2"/>
          <w:sz w:val="32"/>
          <w:szCs w:val="24"/>
          <w:lang w:val="en-US" w:eastAsia="zh-CN" w:bidi="ar-SA"/>
        </w:rPr>
      </w:pPr>
      <w:r>
        <w:rPr>
          <w:rFonts w:hint="eastAsia" w:ascii="Calibri" w:hAnsi="Calibri" w:eastAsia="仿宋" w:cs="Times New Roman"/>
          <w:kern w:val="2"/>
          <w:sz w:val="32"/>
          <w:szCs w:val="24"/>
          <w:lang w:val="en-US" w:eastAsia="zh-CN" w:bidi="ar-SA"/>
        </w:rPr>
        <w:t xml:space="preserve"> （一）主动公开情况</w:t>
      </w:r>
    </w:p>
    <w:p w14:paraId="139A2FB9">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640" w:firstLineChars="200"/>
        <w:textAlignment w:val="auto"/>
        <w:rPr>
          <w:rFonts w:hint="default" w:ascii="Calibri" w:hAnsi="Calibri" w:eastAsia="仿宋" w:cs="Times New Roman"/>
          <w:color w:val="000000" w:themeColor="text1"/>
          <w:kern w:val="2"/>
          <w:sz w:val="32"/>
          <w:szCs w:val="24"/>
          <w:lang w:val="en-US" w:eastAsia="zh-CN" w:bidi="ar-SA"/>
          <w14:textFill>
            <w14:solidFill>
              <w14:schemeClr w14:val="tx1"/>
            </w14:solidFill>
          </w14:textFill>
        </w:rPr>
      </w:pPr>
      <w:r>
        <w:rPr>
          <w:rFonts w:hint="eastAsia" w:ascii="Calibri" w:hAnsi="Calibri" w:eastAsia="仿宋" w:cs="Times New Roman"/>
          <w:color w:val="000000" w:themeColor="text1"/>
          <w:kern w:val="2"/>
          <w:sz w:val="32"/>
          <w:szCs w:val="24"/>
          <w:lang w:val="en-US" w:eastAsia="zh-CN" w:bidi="ar-SA"/>
          <w14:textFill>
            <w14:solidFill>
              <w14:schemeClr w14:val="tx1"/>
            </w14:solidFill>
          </w14:textFill>
        </w:rPr>
        <w:t>2024年通过“巴彦淖尔政府政务公开平台”新增主动公开政府信息共65条，其中：政府信息公开指南1条、国家级信息1条、自治区级信息2条、市本级信息1条、旗县区本级信息4条、概括信息4条、政策文件1条、机构职能1条、领导信息1条、规划计划2条、行政事项情况说明4条、数据发布1条、办事服务2条、财政预决算1条、政府集中采购1条、人事信息1条、建议提案办理2条、重大会议信息1条、重点领域1条、互动交流2条、政务咨询1条、政务新媒体入口1条、政策解读3条、重点业务信息1条、政府信息公开年报1条、基层政务公开24条。</w:t>
      </w:r>
    </w:p>
    <w:p w14:paraId="654FB03F">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0" w:firstLineChars="0"/>
        <w:textAlignment w:val="auto"/>
        <w:rPr>
          <w:rFonts w:hint="eastAsia" w:ascii="Calibri" w:hAnsi="Calibri" w:eastAsia="仿宋" w:cs="Times New Roman"/>
          <w:kern w:val="2"/>
          <w:sz w:val="32"/>
          <w:szCs w:val="24"/>
          <w:lang w:val="en-US" w:eastAsia="zh-CN" w:bidi="ar-SA"/>
        </w:rPr>
      </w:pPr>
      <w:r>
        <w:rPr>
          <w:rFonts w:hint="eastAsia" w:ascii="Calibri" w:hAnsi="Calibri" w:eastAsia="仿宋" w:cs="Times New Roman"/>
          <w:kern w:val="2"/>
          <w:sz w:val="32"/>
          <w:szCs w:val="24"/>
          <w:lang w:val="en-US" w:eastAsia="zh-CN" w:bidi="ar-SA"/>
        </w:rPr>
        <w:t>（二）依申请公开</w:t>
      </w:r>
    </w:p>
    <w:p w14:paraId="356019FC">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640" w:firstLineChars="200"/>
        <w:textAlignment w:val="auto"/>
        <w:rPr>
          <w:rFonts w:hint="eastAsia" w:ascii="Calibri" w:hAnsi="Calibri" w:eastAsia="仿宋" w:cs="Times New Roman"/>
          <w:kern w:val="2"/>
          <w:sz w:val="32"/>
          <w:szCs w:val="24"/>
          <w:lang w:val="en-US" w:eastAsia="zh-CN" w:bidi="ar-SA"/>
        </w:rPr>
      </w:pPr>
      <w:r>
        <w:rPr>
          <w:rFonts w:hint="eastAsia" w:ascii="Calibri" w:hAnsi="Calibri" w:eastAsia="仿宋" w:cs="Times New Roman"/>
          <w:kern w:val="2"/>
          <w:sz w:val="32"/>
          <w:szCs w:val="24"/>
          <w:lang w:val="en-US" w:eastAsia="zh-CN" w:bidi="ar-SA"/>
        </w:rPr>
        <w:t>2024年度，同和太种畜繁育中心在信息公开方面，没有接收到依申请公开信息的要求。</w:t>
      </w:r>
    </w:p>
    <w:p w14:paraId="1C85859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atLeast"/>
        <w:ind w:right="0" w:rightChars="0"/>
        <w:jc w:val="left"/>
        <w:rPr>
          <w:rFonts w:hint="eastAsia" w:ascii="Calibri" w:hAnsi="Calibri" w:eastAsia="仿宋" w:cs="Times New Roman"/>
          <w:kern w:val="2"/>
          <w:sz w:val="32"/>
          <w:szCs w:val="24"/>
          <w:lang w:val="en-US" w:eastAsia="zh-CN" w:bidi="ar-SA"/>
        </w:rPr>
      </w:pPr>
      <w:r>
        <w:rPr>
          <w:rFonts w:hint="eastAsia" w:ascii="Calibri" w:hAnsi="Calibri" w:eastAsia="仿宋" w:cs="Times New Roman"/>
          <w:kern w:val="2"/>
          <w:sz w:val="32"/>
          <w:szCs w:val="24"/>
          <w:lang w:val="en-US" w:eastAsia="zh-CN" w:bidi="ar-SA"/>
        </w:rPr>
        <w:t>（三）政府信息管理情况</w:t>
      </w:r>
    </w:p>
    <w:p w14:paraId="38F0E31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atLeast"/>
        <w:ind w:right="0" w:rightChars="0" w:firstLine="640" w:firstLineChars="200"/>
        <w:jc w:val="left"/>
        <w:rPr>
          <w:rFonts w:hint="eastAsia" w:ascii="Calibri" w:hAnsi="Calibri" w:eastAsia="仿宋" w:cs="Times New Roman"/>
          <w:kern w:val="2"/>
          <w:sz w:val="32"/>
          <w:szCs w:val="24"/>
          <w:lang w:val="en-US" w:eastAsia="zh-CN" w:bidi="ar-SA"/>
        </w:rPr>
      </w:pPr>
      <w:r>
        <w:rPr>
          <w:rFonts w:hint="eastAsia" w:ascii="Calibri" w:hAnsi="Calibri" w:eastAsia="仿宋" w:cs="Times New Roman"/>
          <w:kern w:val="2"/>
          <w:sz w:val="32"/>
          <w:szCs w:val="24"/>
          <w:lang w:val="en-US" w:eastAsia="zh-CN" w:bidi="ar-SA"/>
        </w:rPr>
        <w:t>我们加强了对政府信息的安全管理，确保政府信息在存储、传输和处理过程中的安全性。对存储政府信息的设备和系统进行定期维护和检查，防止信息泄露和被非法获取。同时，我们也加强了对政府信息使用人员的培训和管理，提高他们的信息安全意识和技能，确保政府信息不被滥用和误用。通过这些措施，我们有效地保障了政府信息的安全性和保密性，为政府信息公开工作的顺利开展提供了有力保障。</w:t>
      </w:r>
    </w:p>
    <w:p w14:paraId="1BD3657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atLeast"/>
        <w:ind w:right="0" w:rightChars="0"/>
        <w:jc w:val="left"/>
        <w:rPr>
          <w:rFonts w:hint="eastAsia" w:ascii="Calibri" w:hAnsi="Calibri" w:eastAsia="仿宋" w:cs="Times New Roman"/>
          <w:kern w:val="2"/>
          <w:sz w:val="32"/>
          <w:szCs w:val="24"/>
          <w:lang w:val="en-US" w:eastAsia="zh-CN" w:bidi="ar-SA"/>
        </w:rPr>
      </w:pPr>
      <w:r>
        <w:rPr>
          <w:rFonts w:hint="eastAsia" w:ascii="Calibri" w:hAnsi="Calibri" w:eastAsia="仿宋" w:cs="Times New Roman"/>
          <w:kern w:val="2"/>
          <w:sz w:val="32"/>
          <w:szCs w:val="24"/>
          <w:lang w:val="en-US" w:eastAsia="zh-CN" w:bidi="ar-SA"/>
        </w:rPr>
        <w:t>（四）政府信息公开平台建设情况</w:t>
      </w:r>
    </w:p>
    <w:p w14:paraId="78BFDB0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atLeast"/>
        <w:ind w:left="0" w:right="0" w:rightChars="0" w:firstLine="640" w:firstLineChars="200"/>
        <w:jc w:val="left"/>
        <w:rPr>
          <w:rFonts w:hint="eastAsia" w:ascii="Calibri" w:hAnsi="Calibri" w:eastAsia="仿宋" w:cs="Times New Roman"/>
          <w:kern w:val="2"/>
          <w:sz w:val="32"/>
          <w:szCs w:val="24"/>
          <w:lang w:val="en-US" w:eastAsia="zh-CN" w:bidi="ar-SA"/>
        </w:rPr>
      </w:pPr>
      <w:r>
        <w:rPr>
          <w:rFonts w:hint="eastAsia" w:ascii="Calibri" w:hAnsi="Calibri" w:eastAsia="仿宋" w:cs="Times New Roman"/>
          <w:kern w:val="2"/>
          <w:sz w:val="32"/>
          <w:szCs w:val="24"/>
          <w:lang w:val="en-US" w:eastAsia="zh-CN" w:bidi="ar-SA"/>
        </w:rPr>
        <w:t>我中心通过宣传栏、网站、微信等各种媒体，及时更新栏目设置，</w:t>
      </w:r>
      <w:r>
        <w:rPr>
          <w:rFonts w:hint="eastAsia" w:ascii="仿宋" w:hAnsi="仿宋" w:eastAsia="仿宋" w:cs="仿宋"/>
          <w:kern w:val="0"/>
          <w:sz w:val="32"/>
          <w:szCs w:val="32"/>
          <w:shd w:val="clear" w:color="auto" w:fill="FFFFFF"/>
          <w:lang w:val="en-US" w:eastAsia="zh-CN" w:bidi="ar-SA"/>
        </w:rPr>
        <w:t>我们注重信息内容的准确性和时效性，确保每一条公开的信息都经过严格审核，避免虚假信息的传播。为了不断提升政府信息公开工作的质量和效率，我们定期组织培训和学习活动，增强工作人员的信息公开意识和业务能力。同时，我们也积极不断优化和完善我们的信息公开平台，</w:t>
      </w:r>
      <w:r>
        <w:rPr>
          <w:rFonts w:hint="eastAsia" w:ascii="Calibri" w:hAnsi="Calibri" w:eastAsia="仿宋" w:cs="Times New Roman"/>
          <w:kern w:val="2"/>
          <w:sz w:val="32"/>
          <w:szCs w:val="24"/>
          <w:lang w:val="en-US" w:eastAsia="zh-CN" w:bidi="ar-SA"/>
        </w:rPr>
        <w:t>，积极引导社会公众正确行使知情权，不断提高全中心政务公开工作向纵深发展。</w:t>
      </w:r>
      <w:r>
        <w:rPr>
          <w:rFonts w:hint="eastAsia" w:ascii="仿宋" w:hAnsi="仿宋" w:eastAsia="仿宋" w:cs="仿宋"/>
          <w:kern w:val="0"/>
          <w:sz w:val="32"/>
          <w:szCs w:val="32"/>
          <w:shd w:val="clear" w:color="auto" w:fill="FFFFFF"/>
          <w:lang w:val="en-US" w:eastAsia="zh-CN" w:bidi="ar-SA"/>
        </w:rPr>
        <w:t>我们将继续加强政府信息公开平台的建设和管理，努力打造一个更加透明、高效、便捷的政务环境，为公众提供更加优质的信息服务。</w:t>
      </w:r>
    </w:p>
    <w:p w14:paraId="650BC98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atLeast"/>
        <w:ind w:right="0" w:rightChars="0"/>
        <w:jc w:val="left"/>
        <w:rPr>
          <w:rFonts w:hint="eastAsia" w:ascii="Calibri" w:hAnsi="Calibri" w:eastAsia="仿宋" w:cs="Times New Roman"/>
          <w:kern w:val="2"/>
          <w:sz w:val="32"/>
          <w:szCs w:val="24"/>
          <w:lang w:val="en-US" w:eastAsia="zh-CN" w:bidi="ar-SA"/>
        </w:rPr>
      </w:pPr>
      <w:r>
        <w:rPr>
          <w:rFonts w:hint="eastAsia" w:ascii="Calibri" w:hAnsi="Calibri" w:eastAsia="仿宋" w:cs="Times New Roman"/>
          <w:kern w:val="2"/>
          <w:sz w:val="32"/>
          <w:szCs w:val="24"/>
          <w:lang w:val="en-US" w:eastAsia="zh-CN" w:bidi="ar-SA"/>
        </w:rPr>
        <w:t>（五）监督保障情况</w:t>
      </w:r>
    </w:p>
    <w:p w14:paraId="44ECB8C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atLeast"/>
        <w:ind w:right="0" w:rightChars="0" w:firstLine="640" w:firstLineChars="200"/>
        <w:jc w:val="left"/>
        <w:rPr>
          <w:rFonts w:hint="eastAsia" w:ascii="Calibri" w:hAnsi="Calibri" w:eastAsia="仿宋" w:cs="Times New Roman"/>
          <w:kern w:val="2"/>
          <w:sz w:val="32"/>
          <w:szCs w:val="24"/>
          <w:lang w:val="en-US" w:eastAsia="zh-CN" w:bidi="ar-SA"/>
        </w:rPr>
      </w:pPr>
      <w:r>
        <w:rPr>
          <w:rFonts w:hint="eastAsia" w:ascii="Calibri" w:hAnsi="Calibri" w:eastAsia="仿宋" w:cs="Times New Roman"/>
          <w:kern w:val="2"/>
          <w:sz w:val="32"/>
          <w:szCs w:val="24"/>
          <w:lang w:val="en-US" w:eastAsia="zh-CN" w:bidi="ar-SA"/>
        </w:rPr>
        <w:t>为确保政府信息公开工作的质量和效率，我们制定了一系列严格的工作流程和规范，明确了政府信息公开的内容、形式、时限等具体要求。同时，我们还加强了对政府信息公开工作的监督检查，定期对政府信息公开情况进行评估和通报，及时发现和纠正工作中存在的问题和不足。此外，我们还积极开展政府信息公开的宣传和培训，提高工作人员对政府信息公开工作的认识和重视程度，不断提升政府信息公开工作的质量和水平。通过这些措施，我们有力推动了我中心政府信息公开工作的深入开展，为群众提供了更加便捷、高效的信息服务。</w:t>
      </w:r>
    </w:p>
    <w:p w14:paraId="4AEDAAC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atLeast"/>
        <w:ind w:right="0" w:rightChars="0"/>
        <w:jc w:val="left"/>
        <w:rPr>
          <w:rFonts w:hint="eastAsia" w:ascii="Calibri" w:hAnsi="Calibri" w:eastAsia="仿宋" w:cs="Times New Roman"/>
          <w:kern w:val="2"/>
          <w:sz w:val="32"/>
          <w:szCs w:val="24"/>
          <w:lang w:val="en-US" w:eastAsia="zh-CN" w:bidi="ar-SA"/>
        </w:rPr>
      </w:pPr>
      <w:r>
        <w:rPr>
          <w:rFonts w:hint="eastAsia" w:ascii="Calibri" w:hAnsi="Calibri" w:eastAsia="仿宋" w:cs="Times New Roman"/>
          <w:kern w:val="2"/>
          <w:sz w:val="32"/>
          <w:szCs w:val="24"/>
          <w:lang w:val="en-US" w:eastAsia="zh-CN" w:bidi="ar-SA"/>
        </w:rPr>
        <w:t>二、主动公开政府信息情况</w:t>
      </w:r>
    </w:p>
    <w:tbl>
      <w:tblPr>
        <w:tblStyle w:val="4"/>
        <w:tblpPr w:leftFromText="180" w:rightFromText="180" w:vertAnchor="text" w:horzAnchor="page" w:tblpX="1218" w:tblpY="52"/>
        <w:tblOverlap w:val="never"/>
        <w:tblW w:w="97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435"/>
        <w:gridCol w:w="2435"/>
        <w:gridCol w:w="2435"/>
        <w:gridCol w:w="2435"/>
      </w:tblGrid>
      <w:tr w14:paraId="42AA7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14:paraId="440E2B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第二十条第（一）项</w:t>
            </w:r>
          </w:p>
        </w:tc>
      </w:tr>
      <w:tr w14:paraId="6FB1D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05B0CA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信息内容</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602342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本年</w:t>
            </w:r>
            <w:r>
              <w:rPr>
                <w:rFonts w:hint="eastAsia" w:ascii="仿宋" w:hAnsi="仿宋" w:eastAsia="仿宋" w:cs="仿宋"/>
                <w:kern w:val="0"/>
                <w:sz w:val="32"/>
                <w:szCs w:val="32"/>
                <w:lang w:val="en-US" w:eastAsia="zh-CN"/>
              </w:rPr>
              <w:t>制发件数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6B0AB1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本年废止件数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08E68C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现行有效件</w:t>
            </w:r>
            <w:r>
              <w:rPr>
                <w:rFonts w:hint="eastAsia" w:ascii="仿宋" w:hAnsi="仿宋" w:eastAsia="仿宋" w:cs="仿宋"/>
                <w:kern w:val="0"/>
                <w:sz w:val="32"/>
                <w:szCs w:val="32"/>
                <w:lang w:val="en-US" w:eastAsia="zh-CN"/>
              </w:rPr>
              <w:t>数</w:t>
            </w:r>
          </w:p>
        </w:tc>
      </w:tr>
      <w:tr w14:paraId="04A35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407153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规章</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20C530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lang w:val="en-US"/>
              </w:rPr>
            </w:pPr>
            <w:r>
              <w:rPr>
                <w:rFonts w:hint="eastAsia" w:ascii="仿宋" w:hAnsi="仿宋" w:eastAsia="仿宋" w:cs="仿宋"/>
                <w:color w:val="000000"/>
                <w:kern w:val="0"/>
                <w:sz w:val="32"/>
                <w:szCs w:val="32"/>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2A8AF9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lang w:val="en-US"/>
              </w:rPr>
            </w:pPr>
            <w:r>
              <w:rPr>
                <w:rFonts w:hint="eastAsia" w:ascii="仿宋" w:hAnsi="仿宋" w:eastAsia="仿宋" w:cs="仿宋"/>
                <w:color w:val="000000"/>
                <w:kern w:val="0"/>
                <w:sz w:val="32"/>
                <w:szCs w:val="32"/>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23A5CA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lang w:val="en-US"/>
              </w:rPr>
            </w:pPr>
            <w:r>
              <w:rPr>
                <w:rFonts w:hint="eastAsia" w:ascii="仿宋" w:hAnsi="仿宋" w:eastAsia="仿宋" w:cs="仿宋"/>
                <w:kern w:val="0"/>
                <w:sz w:val="32"/>
                <w:szCs w:val="32"/>
                <w:lang w:val="en-US" w:eastAsia="zh-CN"/>
              </w:rPr>
              <w:t>0</w:t>
            </w:r>
          </w:p>
        </w:tc>
      </w:tr>
      <w:tr w14:paraId="24999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50846C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行政规范性文件</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23E360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lang w:val="en-US"/>
              </w:rPr>
            </w:pPr>
            <w:r>
              <w:rPr>
                <w:rFonts w:hint="eastAsia" w:ascii="仿宋" w:hAnsi="仿宋" w:eastAsia="仿宋" w:cs="仿宋"/>
                <w:color w:val="000000"/>
                <w:kern w:val="0"/>
                <w:sz w:val="32"/>
                <w:szCs w:val="32"/>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0FCB7D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lang w:val="en-US"/>
              </w:rPr>
            </w:pPr>
            <w:r>
              <w:rPr>
                <w:rFonts w:hint="eastAsia" w:ascii="仿宋" w:hAnsi="仿宋" w:eastAsia="仿宋" w:cs="仿宋"/>
                <w:color w:val="000000"/>
                <w:kern w:val="0"/>
                <w:sz w:val="32"/>
                <w:szCs w:val="32"/>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05C1D6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0</w:t>
            </w:r>
          </w:p>
        </w:tc>
      </w:tr>
      <w:tr w14:paraId="772C4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14:paraId="2C0CC0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第二十条第（五）项</w:t>
            </w:r>
          </w:p>
        </w:tc>
      </w:tr>
      <w:tr w14:paraId="2EEF6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6F10D2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信息内容</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1E291A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本年处理决定数量</w:t>
            </w:r>
          </w:p>
        </w:tc>
      </w:tr>
      <w:tr w14:paraId="328B8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7F0564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行政许可</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6A4A8E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lang w:val="en-US"/>
              </w:rPr>
            </w:pPr>
            <w:r>
              <w:rPr>
                <w:rFonts w:hint="eastAsia" w:ascii="仿宋" w:hAnsi="仿宋" w:eastAsia="仿宋" w:cs="仿宋"/>
                <w:kern w:val="0"/>
                <w:sz w:val="32"/>
                <w:szCs w:val="32"/>
                <w:lang w:val="en-US" w:eastAsia="zh-CN"/>
              </w:rPr>
              <w:t>0</w:t>
            </w:r>
          </w:p>
        </w:tc>
      </w:tr>
      <w:tr w14:paraId="0E4F1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14:paraId="4518B5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第二十条第（六）项</w:t>
            </w:r>
          </w:p>
        </w:tc>
      </w:tr>
      <w:tr w14:paraId="64607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1DFCCC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信息内容</w:t>
            </w:r>
          </w:p>
        </w:tc>
        <w:tc>
          <w:tcPr>
            <w:tcW w:w="7305" w:type="dxa"/>
            <w:gridSpan w:val="3"/>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213AA6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本年处理决定数量</w:t>
            </w:r>
          </w:p>
        </w:tc>
      </w:tr>
      <w:tr w14:paraId="4336C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27E605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行政处罚</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6C9590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lang w:val="en-US"/>
              </w:rPr>
            </w:pPr>
            <w:r>
              <w:rPr>
                <w:rFonts w:hint="eastAsia" w:ascii="仿宋" w:hAnsi="仿宋" w:eastAsia="仿宋" w:cs="仿宋"/>
                <w:color w:val="000000"/>
                <w:kern w:val="0"/>
                <w:sz w:val="32"/>
                <w:szCs w:val="32"/>
                <w:lang w:val="en-US" w:eastAsia="zh-CN"/>
              </w:rPr>
              <w:t>0</w:t>
            </w:r>
          </w:p>
        </w:tc>
      </w:tr>
      <w:tr w14:paraId="32F5D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08619F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行政强制</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5E573A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lang w:val="en-US"/>
              </w:rPr>
            </w:pPr>
            <w:r>
              <w:rPr>
                <w:rFonts w:hint="eastAsia" w:ascii="仿宋" w:hAnsi="仿宋" w:eastAsia="仿宋" w:cs="仿宋"/>
                <w:color w:val="000000"/>
                <w:kern w:val="0"/>
                <w:sz w:val="32"/>
                <w:szCs w:val="32"/>
                <w:lang w:val="en-US" w:eastAsia="zh-CN"/>
              </w:rPr>
              <w:t>0</w:t>
            </w:r>
          </w:p>
        </w:tc>
      </w:tr>
      <w:tr w14:paraId="7F979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14:paraId="7CC6B0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第二十条第（八）项</w:t>
            </w:r>
          </w:p>
        </w:tc>
      </w:tr>
      <w:tr w14:paraId="51870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48CF89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信息内容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14:paraId="7C4685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本年收费金额（单位：万元）</w:t>
            </w:r>
          </w:p>
        </w:tc>
      </w:tr>
      <w:tr w14:paraId="62B94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6A635C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行政事业性收费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14:paraId="5CFBCCC2">
            <w:pPr>
              <w:keepNext w:val="0"/>
              <w:keepLines w:val="0"/>
              <w:pageBreakBefore w:val="0"/>
              <w:kinsoku/>
              <w:wordWrap/>
              <w:overflowPunct/>
              <w:topLinePunct w:val="0"/>
              <w:autoSpaceDE/>
              <w:autoSpaceDN/>
              <w:bidi w:val="0"/>
              <w:adjustRightInd/>
              <w:snapToGrid/>
              <w:spacing w:beforeAutospacing="0" w:afterAutospacing="0" w:line="560" w:lineRule="atLeast"/>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0</w:t>
            </w:r>
          </w:p>
        </w:tc>
      </w:tr>
    </w:tbl>
    <w:p w14:paraId="4B0464A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atLeast"/>
        <w:ind w:right="0" w:rightChars="0" w:firstLine="640" w:firstLineChars="200"/>
        <w:jc w:val="left"/>
        <w:rPr>
          <w:rFonts w:hint="eastAsia" w:ascii="Calibri" w:hAnsi="Calibri" w:eastAsia="仿宋" w:cs="Times New Roman"/>
          <w:kern w:val="2"/>
          <w:sz w:val="32"/>
          <w:szCs w:val="24"/>
          <w:lang w:val="en-US" w:eastAsia="zh-CN" w:bidi="ar-SA"/>
        </w:rPr>
      </w:pPr>
      <w:r>
        <w:rPr>
          <w:rFonts w:hint="eastAsia" w:ascii="Calibri" w:hAnsi="Calibri" w:eastAsia="仿宋" w:cs="Times New Roman"/>
          <w:kern w:val="2"/>
          <w:sz w:val="32"/>
          <w:szCs w:val="24"/>
          <w:lang w:val="en-US" w:eastAsia="zh-CN" w:bidi="ar-SA"/>
        </w:rPr>
        <w:t>三、收到和处理政府信息公开申请情况</w:t>
      </w: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68"/>
        <w:gridCol w:w="1074"/>
        <w:gridCol w:w="3144"/>
        <w:gridCol w:w="680"/>
        <w:gridCol w:w="680"/>
        <w:gridCol w:w="680"/>
        <w:gridCol w:w="680"/>
        <w:gridCol w:w="680"/>
        <w:gridCol w:w="680"/>
        <w:gridCol w:w="682"/>
      </w:tblGrid>
      <w:tr w14:paraId="676848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14:paraId="194FE0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23A85F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申请人情况</w:t>
            </w:r>
          </w:p>
        </w:tc>
      </w:tr>
      <w:tr w14:paraId="3C76B1F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14:paraId="04DE8603">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688" w:type="dxa"/>
            <w:vMerge w:val="restart"/>
            <w:tcBorders>
              <w:top w:val="nil"/>
              <w:left w:val="nil"/>
              <w:bottom w:val="single" w:color="auto" w:sz="8" w:space="0"/>
              <w:right w:val="single" w:color="auto" w:sz="8" w:space="0"/>
            </w:tcBorders>
            <w:shd w:val="clear" w:color="auto" w:fill="auto"/>
            <w:tcMar>
              <w:left w:w="57" w:type="dxa"/>
              <w:right w:w="57" w:type="dxa"/>
            </w:tcMar>
            <w:vAlign w:val="center"/>
          </w:tcPr>
          <w:p w14:paraId="7A1BC8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6C444A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14:paraId="0251D1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总计</w:t>
            </w:r>
          </w:p>
        </w:tc>
      </w:tr>
      <w:tr w14:paraId="2B1C49D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14:paraId="432B154F">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688" w:type="dxa"/>
            <w:vMerge w:val="continue"/>
            <w:tcBorders>
              <w:top w:val="nil"/>
              <w:left w:val="nil"/>
              <w:bottom w:val="single" w:color="auto" w:sz="8" w:space="0"/>
              <w:right w:val="single" w:color="auto" w:sz="8" w:space="0"/>
            </w:tcBorders>
            <w:shd w:val="clear" w:color="auto" w:fill="auto"/>
            <w:tcMar>
              <w:left w:w="57" w:type="dxa"/>
              <w:right w:w="57" w:type="dxa"/>
            </w:tcMar>
            <w:vAlign w:val="center"/>
          </w:tcPr>
          <w:p w14:paraId="10890120">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1EDD4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商业</w:t>
            </w:r>
          </w:p>
          <w:p w14:paraId="61ACA9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企业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DA472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科研</w:t>
            </w:r>
          </w:p>
          <w:p w14:paraId="2352B2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12D309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社会公益组织</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706964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法律服务机构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454299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其他</w:t>
            </w:r>
          </w:p>
        </w:tc>
        <w:tc>
          <w:tcPr>
            <w:tcW w:w="689" w:type="dxa"/>
            <w:vMerge w:val="continue"/>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14:paraId="6A60A36F">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r>
      <w:tr w14:paraId="233C230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226395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一、本年新收政府信息公开申请数量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66A0D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lang w:val="en-US"/>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DA34D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lang w:val="en-US"/>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FC257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lang w:val="en-US"/>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16B10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B1188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lang w:val="en-US"/>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78A08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lang w:val="en-US"/>
              </w:rPr>
            </w:pPr>
            <w:r>
              <w:rPr>
                <w:rFonts w:hint="eastAsia" w:ascii="仿宋" w:hAnsi="仿宋" w:eastAsia="仿宋" w:cs="仿宋"/>
                <w:kern w:val="0"/>
                <w:sz w:val="32"/>
                <w:szCs w:val="32"/>
                <w:lang w:val="en-US" w:eastAsia="zh-CN"/>
              </w:rPr>
              <w:t> 0</w:t>
            </w:r>
          </w:p>
        </w:tc>
        <w:tc>
          <w:tcPr>
            <w:tcW w:w="689" w:type="dxa"/>
            <w:tcBorders>
              <w:top w:val="nil"/>
              <w:left w:val="nil"/>
              <w:bottom w:val="single" w:color="auto" w:sz="8" w:space="0"/>
              <w:right w:val="single" w:color="auto" w:sz="8" w:space="0"/>
            </w:tcBorders>
            <w:shd w:val="clear" w:color="auto" w:fill="auto"/>
            <w:tcMar>
              <w:left w:w="57" w:type="dxa"/>
              <w:right w:w="57" w:type="dxa"/>
            </w:tcMar>
          </w:tcPr>
          <w:p w14:paraId="4D765B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center"/>
              <w:rPr>
                <w:rFonts w:hint="eastAsia" w:ascii="仿宋" w:hAnsi="仿宋" w:eastAsia="仿宋" w:cs="仿宋"/>
                <w:sz w:val="32"/>
                <w:szCs w:val="32"/>
                <w:lang w:val="en-US"/>
              </w:rPr>
            </w:pPr>
            <w:r>
              <w:rPr>
                <w:rFonts w:hint="eastAsia" w:ascii="仿宋" w:hAnsi="仿宋" w:eastAsia="仿宋" w:cs="仿宋"/>
                <w:kern w:val="0"/>
                <w:sz w:val="32"/>
                <w:szCs w:val="32"/>
                <w:lang w:val="en-US" w:eastAsia="zh-CN"/>
              </w:rPr>
              <w:t>0</w:t>
            </w:r>
          </w:p>
        </w:tc>
      </w:tr>
      <w:tr w14:paraId="39C5252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11CA1C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二、上年结转政府信息公开申请数量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B484B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79408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B0D83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61717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A937E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39CF6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nil"/>
              <w:left w:val="nil"/>
              <w:bottom w:val="single" w:color="auto" w:sz="8" w:space="0"/>
              <w:right w:val="single" w:color="auto" w:sz="8" w:space="0"/>
            </w:tcBorders>
            <w:shd w:val="clear" w:color="auto" w:fill="auto"/>
            <w:tcMar>
              <w:left w:w="57" w:type="dxa"/>
              <w:right w:w="57" w:type="dxa"/>
            </w:tcMar>
          </w:tcPr>
          <w:p w14:paraId="229FA3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w:t>
            </w:r>
          </w:p>
        </w:tc>
      </w:tr>
      <w:tr w14:paraId="444EF1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51C50E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三、本年度办理结果</w:t>
            </w: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14:paraId="5859FC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（一）予以公开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2D1D9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E83D3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93632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10691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DAEBA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95D27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single" w:color="auto" w:sz="8" w:space="0"/>
              <w:left w:val="nil"/>
              <w:bottom w:val="single" w:color="auto" w:sz="8" w:space="0"/>
              <w:right w:val="single" w:color="auto" w:sz="8" w:space="0"/>
            </w:tcBorders>
            <w:shd w:val="clear" w:color="auto" w:fill="auto"/>
            <w:tcMar>
              <w:left w:w="57" w:type="dxa"/>
              <w:right w:w="57" w:type="dxa"/>
            </w:tcMar>
          </w:tcPr>
          <w:p w14:paraId="4767AA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w:t>
            </w:r>
          </w:p>
        </w:tc>
      </w:tr>
      <w:tr w14:paraId="34A403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287" w:hRule="atLeast"/>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24E69923">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14:paraId="3BF3B5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（二）部分公开（区分处理的，只计这一情形，不计其他情形）</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72DE6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ACB61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C27E7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5275F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EB634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0DB57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nil"/>
              <w:left w:val="nil"/>
              <w:bottom w:val="single" w:color="auto" w:sz="8" w:space="0"/>
              <w:right w:val="single" w:color="auto" w:sz="8" w:space="0"/>
            </w:tcBorders>
            <w:shd w:val="clear" w:color="auto" w:fill="auto"/>
            <w:tcMar>
              <w:left w:w="57" w:type="dxa"/>
              <w:right w:w="57" w:type="dxa"/>
            </w:tcMar>
          </w:tcPr>
          <w:p w14:paraId="15A19F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w:t>
            </w:r>
          </w:p>
        </w:tc>
      </w:tr>
      <w:tr w14:paraId="4158812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395DEB30">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14:paraId="2A36F1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（三）不予公开</w:t>
            </w:r>
          </w:p>
        </w:tc>
        <w:tc>
          <w:tcPr>
            <w:tcW w:w="3220" w:type="dxa"/>
            <w:tcBorders>
              <w:top w:val="nil"/>
              <w:left w:val="nil"/>
              <w:bottom w:val="single" w:color="auto" w:sz="8" w:space="0"/>
              <w:right w:val="single" w:color="auto" w:sz="8" w:space="0"/>
            </w:tcBorders>
            <w:shd w:val="clear" w:color="auto" w:fill="auto"/>
            <w:tcMar>
              <w:left w:w="57" w:type="dxa"/>
              <w:right w:w="57" w:type="dxa"/>
            </w:tcMar>
          </w:tcPr>
          <w:p w14:paraId="3C2F2D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1.属于国家秘密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813EE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C8DB4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36340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566E7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DB090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07203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single" w:color="auto" w:sz="8" w:space="0"/>
              <w:left w:val="nil"/>
              <w:bottom w:val="single" w:color="auto" w:sz="8" w:space="0"/>
              <w:right w:val="single" w:color="auto" w:sz="8" w:space="0"/>
            </w:tcBorders>
            <w:shd w:val="clear" w:color="auto" w:fill="auto"/>
            <w:tcMar>
              <w:left w:w="57" w:type="dxa"/>
              <w:right w:w="57" w:type="dxa"/>
            </w:tcMar>
          </w:tcPr>
          <w:p w14:paraId="60BB25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w:t>
            </w:r>
          </w:p>
        </w:tc>
      </w:tr>
      <w:tr w14:paraId="663636B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4E45569C">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3A7F4CE8">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14:paraId="20D405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2.其他法律行政法规禁止公开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CF2B2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53A5A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9ED99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B6133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8F886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76B71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nil"/>
              <w:left w:val="nil"/>
              <w:bottom w:val="single" w:color="auto" w:sz="8" w:space="0"/>
              <w:right w:val="single" w:color="auto" w:sz="8" w:space="0"/>
            </w:tcBorders>
            <w:shd w:val="clear" w:color="auto" w:fill="auto"/>
            <w:tcMar>
              <w:left w:w="57" w:type="dxa"/>
              <w:right w:w="57" w:type="dxa"/>
            </w:tcMar>
          </w:tcPr>
          <w:p w14:paraId="754A90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w:t>
            </w:r>
          </w:p>
        </w:tc>
      </w:tr>
      <w:tr w14:paraId="6003EAC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6BD2C499">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01CAFB80">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14:paraId="2DF636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3.危及“三安全一稳定”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376CC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AFEB9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5A1F9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D396C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F9004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A155E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nil"/>
              <w:left w:val="nil"/>
              <w:bottom w:val="single" w:color="auto" w:sz="8" w:space="0"/>
              <w:right w:val="single" w:color="auto" w:sz="8" w:space="0"/>
            </w:tcBorders>
            <w:shd w:val="clear" w:color="auto" w:fill="auto"/>
            <w:tcMar>
              <w:left w:w="57" w:type="dxa"/>
              <w:right w:w="57" w:type="dxa"/>
            </w:tcMar>
          </w:tcPr>
          <w:p w14:paraId="5D996A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w:t>
            </w:r>
          </w:p>
        </w:tc>
      </w:tr>
      <w:tr w14:paraId="3CA82E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64B66956">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258CE018">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14:paraId="76D3BB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4.保护第三方合法权益</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407B4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C0B9F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9641B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FE45C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4AC30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3E776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nil"/>
              <w:left w:val="nil"/>
              <w:bottom w:val="single" w:color="auto" w:sz="8" w:space="0"/>
              <w:right w:val="single" w:color="auto" w:sz="8" w:space="0"/>
            </w:tcBorders>
            <w:shd w:val="clear" w:color="auto" w:fill="auto"/>
            <w:tcMar>
              <w:left w:w="57" w:type="dxa"/>
              <w:right w:w="57" w:type="dxa"/>
            </w:tcMar>
          </w:tcPr>
          <w:p w14:paraId="633A93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w:t>
            </w:r>
          </w:p>
        </w:tc>
      </w:tr>
      <w:tr w14:paraId="259F2C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04ACC846">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49BAA189">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14:paraId="334804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5.属于三类内部事务信息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3A68D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E095B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327DE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174B9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C0934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D2F3E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nil"/>
              <w:left w:val="nil"/>
              <w:bottom w:val="single" w:color="auto" w:sz="8" w:space="0"/>
              <w:right w:val="single" w:color="auto" w:sz="8" w:space="0"/>
            </w:tcBorders>
            <w:shd w:val="clear" w:color="auto" w:fill="auto"/>
            <w:tcMar>
              <w:left w:w="57" w:type="dxa"/>
              <w:right w:w="57" w:type="dxa"/>
            </w:tcMar>
          </w:tcPr>
          <w:p w14:paraId="008D5A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w:t>
            </w:r>
          </w:p>
        </w:tc>
      </w:tr>
      <w:tr w14:paraId="762EC64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3DFE18CF">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178EF6DA">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14:paraId="73292B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6.属于四类过程性信息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03C8C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4EC74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04901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2A674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170D3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FBD00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nil"/>
              <w:left w:val="nil"/>
              <w:bottom w:val="single" w:color="auto" w:sz="8" w:space="0"/>
              <w:right w:val="single" w:color="auto" w:sz="8" w:space="0"/>
            </w:tcBorders>
            <w:shd w:val="clear" w:color="auto" w:fill="auto"/>
            <w:tcMar>
              <w:left w:w="57" w:type="dxa"/>
              <w:right w:w="57" w:type="dxa"/>
            </w:tcMar>
          </w:tcPr>
          <w:p w14:paraId="7677D2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w:t>
            </w:r>
          </w:p>
        </w:tc>
      </w:tr>
      <w:tr w14:paraId="60498B8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7D03416F">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73E7E7EB">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14:paraId="3A4AB3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7.属于行政执法案卷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E796E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38FC7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6B7CC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08B9F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3EEEE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00964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nil"/>
              <w:left w:val="nil"/>
              <w:bottom w:val="single" w:color="auto" w:sz="8" w:space="0"/>
              <w:right w:val="single" w:color="auto" w:sz="8" w:space="0"/>
            </w:tcBorders>
            <w:shd w:val="clear" w:color="auto" w:fill="auto"/>
            <w:tcMar>
              <w:left w:w="57" w:type="dxa"/>
              <w:right w:w="57" w:type="dxa"/>
            </w:tcMar>
          </w:tcPr>
          <w:p w14:paraId="4C5EC0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w:t>
            </w:r>
          </w:p>
        </w:tc>
      </w:tr>
      <w:tr w14:paraId="7172DB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58F9221D">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0E8A63E5">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14:paraId="622CEE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8.属于行政查询事项</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F8382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7DB38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2A504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3828F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6FA8E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FD820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nil"/>
              <w:left w:val="nil"/>
              <w:bottom w:val="single" w:color="auto" w:sz="8" w:space="0"/>
              <w:right w:val="single" w:color="auto" w:sz="8" w:space="0"/>
            </w:tcBorders>
            <w:shd w:val="clear" w:color="auto" w:fill="auto"/>
            <w:tcMar>
              <w:left w:w="57" w:type="dxa"/>
              <w:right w:w="57" w:type="dxa"/>
            </w:tcMar>
          </w:tcPr>
          <w:p w14:paraId="319438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w:t>
            </w:r>
          </w:p>
        </w:tc>
      </w:tr>
      <w:tr w14:paraId="591D19D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12BA059E">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14:paraId="700A43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（四）无法提供</w:t>
            </w:r>
          </w:p>
        </w:tc>
        <w:tc>
          <w:tcPr>
            <w:tcW w:w="3220" w:type="dxa"/>
            <w:tcBorders>
              <w:top w:val="nil"/>
              <w:left w:val="nil"/>
              <w:bottom w:val="single" w:color="auto" w:sz="8" w:space="0"/>
              <w:right w:val="single" w:color="auto" w:sz="8" w:space="0"/>
            </w:tcBorders>
            <w:shd w:val="clear" w:color="auto" w:fill="auto"/>
            <w:tcMar>
              <w:left w:w="57" w:type="dxa"/>
              <w:right w:w="57" w:type="dxa"/>
            </w:tcMar>
          </w:tcPr>
          <w:p w14:paraId="7F2EA3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1.本机关不掌握相关政府信息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50FAD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6EE13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82C62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7EAA8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3EA22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F428B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nil"/>
              <w:left w:val="nil"/>
              <w:bottom w:val="single" w:color="auto" w:sz="8" w:space="0"/>
              <w:right w:val="single" w:color="auto" w:sz="8" w:space="0"/>
            </w:tcBorders>
            <w:shd w:val="clear" w:color="auto" w:fill="auto"/>
            <w:tcMar>
              <w:left w:w="57" w:type="dxa"/>
              <w:right w:w="57" w:type="dxa"/>
            </w:tcMar>
          </w:tcPr>
          <w:p w14:paraId="39229E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w:t>
            </w:r>
          </w:p>
        </w:tc>
      </w:tr>
      <w:tr w14:paraId="123E97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7C4BF551">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5F71DB61">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14:paraId="18D319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2.没有现成信息需要另行制作</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3F083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7E934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6E3E7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BA9F5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DAEE6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9698B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nil"/>
              <w:left w:val="nil"/>
              <w:bottom w:val="single" w:color="auto" w:sz="8" w:space="0"/>
              <w:right w:val="single" w:color="auto" w:sz="8" w:space="0"/>
            </w:tcBorders>
            <w:shd w:val="clear" w:color="auto" w:fill="auto"/>
            <w:tcMar>
              <w:left w:w="57" w:type="dxa"/>
              <w:right w:w="57" w:type="dxa"/>
            </w:tcMar>
          </w:tcPr>
          <w:p w14:paraId="5E560F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w:t>
            </w:r>
          </w:p>
        </w:tc>
      </w:tr>
      <w:tr w14:paraId="308074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2962FC0E">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0B9015A1">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14:paraId="7AE896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3.补正后申请内容仍不明确</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9FE9F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58377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FDCE3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BEE46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9AEEF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465D8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nil"/>
              <w:left w:val="nil"/>
              <w:bottom w:val="single" w:color="auto" w:sz="8" w:space="0"/>
              <w:right w:val="single" w:color="auto" w:sz="8" w:space="0"/>
            </w:tcBorders>
            <w:shd w:val="clear" w:color="auto" w:fill="auto"/>
            <w:tcMar>
              <w:left w:w="57" w:type="dxa"/>
              <w:right w:w="57" w:type="dxa"/>
            </w:tcMar>
          </w:tcPr>
          <w:p w14:paraId="2CBCFD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w:t>
            </w:r>
          </w:p>
        </w:tc>
      </w:tr>
      <w:tr w14:paraId="777ADB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698BFF49">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14:paraId="6B4EDE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（五）不予处理</w:t>
            </w:r>
          </w:p>
        </w:tc>
        <w:tc>
          <w:tcPr>
            <w:tcW w:w="3220" w:type="dxa"/>
            <w:tcBorders>
              <w:top w:val="nil"/>
              <w:left w:val="nil"/>
              <w:bottom w:val="single" w:color="auto" w:sz="8" w:space="0"/>
              <w:right w:val="single" w:color="auto" w:sz="8" w:space="0"/>
            </w:tcBorders>
            <w:shd w:val="clear" w:color="auto" w:fill="auto"/>
            <w:tcMar>
              <w:left w:w="57" w:type="dxa"/>
              <w:right w:w="57" w:type="dxa"/>
            </w:tcMar>
          </w:tcPr>
          <w:p w14:paraId="59747E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1.信访举报投诉类申请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1DDB2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17A73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1D216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A8FFC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F8E0D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12E20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nil"/>
              <w:left w:val="nil"/>
              <w:bottom w:val="single" w:color="auto" w:sz="8" w:space="0"/>
              <w:right w:val="single" w:color="auto" w:sz="8" w:space="0"/>
            </w:tcBorders>
            <w:shd w:val="clear" w:color="auto" w:fill="auto"/>
            <w:tcMar>
              <w:left w:w="57" w:type="dxa"/>
              <w:right w:w="57" w:type="dxa"/>
            </w:tcMar>
          </w:tcPr>
          <w:p w14:paraId="0A7CC6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r>
      <w:tr w14:paraId="4249296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1E087465">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3D3C8785">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14:paraId="5AF279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2.重复申请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D02FE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5A6C8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B88CE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DBD4E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8750F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1B9A5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nil"/>
              <w:left w:val="nil"/>
              <w:bottom w:val="single" w:color="auto" w:sz="8" w:space="0"/>
              <w:right w:val="single" w:color="auto" w:sz="8" w:space="0"/>
            </w:tcBorders>
            <w:shd w:val="clear" w:color="auto" w:fill="auto"/>
            <w:tcMar>
              <w:left w:w="57" w:type="dxa"/>
              <w:right w:w="57" w:type="dxa"/>
            </w:tcMar>
          </w:tcPr>
          <w:p w14:paraId="68DB12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r>
      <w:tr w14:paraId="0CDEEA4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07211CFA">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7EEE18FD">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14:paraId="353752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3.要求提供公开出版物</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61477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3CC4D1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FF6A4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98E22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544C8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D615A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nil"/>
              <w:left w:val="nil"/>
              <w:bottom w:val="single" w:color="auto" w:sz="8" w:space="0"/>
              <w:right w:val="single" w:color="auto" w:sz="8" w:space="0"/>
            </w:tcBorders>
            <w:shd w:val="clear" w:color="auto" w:fill="auto"/>
            <w:tcMar>
              <w:left w:w="57" w:type="dxa"/>
              <w:right w:w="57" w:type="dxa"/>
            </w:tcMar>
          </w:tcPr>
          <w:p w14:paraId="13AF24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r>
      <w:tr w14:paraId="7E40874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3584D931">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082FED90">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14:paraId="4F32C9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4.无正当理由大量反复申请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EE152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2CECC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324DC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28E58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EE291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5419F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nil"/>
              <w:left w:val="nil"/>
              <w:bottom w:val="single" w:color="auto" w:sz="8" w:space="0"/>
              <w:right w:val="single" w:color="auto" w:sz="8" w:space="0"/>
            </w:tcBorders>
            <w:shd w:val="clear" w:color="auto" w:fill="auto"/>
            <w:tcMar>
              <w:left w:w="57" w:type="dxa"/>
              <w:right w:w="57" w:type="dxa"/>
            </w:tcMar>
          </w:tcPr>
          <w:p w14:paraId="272D0F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r>
      <w:tr w14:paraId="67DDB1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2A264835">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14:paraId="665DA29E">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3220" w:type="dxa"/>
            <w:tcBorders>
              <w:top w:val="nil"/>
              <w:left w:val="nil"/>
              <w:bottom w:val="outset" w:color="auto" w:sz="8" w:space="0"/>
              <w:right w:val="single" w:color="auto" w:sz="8" w:space="0"/>
            </w:tcBorders>
            <w:shd w:val="clear" w:color="auto" w:fill="auto"/>
            <w:tcMar>
              <w:left w:w="57" w:type="dxa"/>
              <w:right w:w="57" w:type="dxa"/>
            </w:tcMar>
            <w:vAlign w:val="center"/>
          </w:tcPr>
          <w:p w14:paraId="6104C0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both"/>
              <w:rPr>
                <w:rFonts w:hint="eastAsia" w:ascii="仿宋" w:hAnsi="仿宋" w:eastAsia="仿宋" w:cs="仿宋"/>
                <w:sz w:val="32"/>
                <w:szCs w:val="32"/>
              </w:rPr>
            </w:pPr>
            <w:r>
              <w:rPr>
                <w:rFonts w:hint="eastAsia" w:ascii="仿宋" w:hAnsi="仿宋" w:eastAsia="仿宋" w:cs="仿宋"/>
                <w:kern w:val="0"/>
                <w:sz w:val="32"/>
                <w:szCs w:val="32"/>
                <w:lang w:val="en-US" w:eastAsia="zh-CN"/>
              </w:rPr>
              <w:t>5.要求行政机关确认或重新出具已获取信息</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14:paraId="0D413C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14:paraId="4FB5D8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14:paraId="7BDA3C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14:paraId="7004C1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14:paraId="4166DE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14:paraId="4675C6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nil"/>
              <w:left w:val="nil"/>
              <w:bottom w:val="outset" w:color="auto" w:sz="8" w:space="0"/>
              <w:right w:val="single" w:color="auto" w:sz="8" w:space="0"/>
            </w:tcBorders>
            <w:shd w:val="clear" w:color="auto" w:fill="auto"/>
            <w:tcMar>
              <w:left w:w="57" w:type="dxa"/>
              <w:right w:w="57" w:type="dxa"/>
            </w:tcMar>
          </w:tcPr>
          <w:p w14:paraId="36AB0D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r>
      <w:tr w14:paraId="3FD336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2370527B">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943" w:type="dxa"/>
            <w:vMerge w:val="restart"/>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14:paraId="2653E8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（六）其他处理</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6B3C46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both"/>
              <w:rPr>
                <w:rFonts w:hint="eastAsia" w:ascii="仿宋" w:hAnsi="仿宋" w:eastAsia="仿宋" w:cs="仿宋"/>
                <w:sz w:val="32"/>
                <w:szCs w:val="32"/>
              </w:rPr>
            </w:pPr>
            <w:r>
              <w:rPr>
                <w:rFonts w:hint="eastAsia" w:ascii="仿宋" w:hAnsi="仿宋" w:eastAsia="仿宋" w:cs="仿宋"/>
                <w:kern w:val="0"/>
                <w:sz w:val="32"/>
                <w:szCs w:val="32"/>
                <w:lang w:val="en-US" w:eastAsia="zh-CN"/>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06882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E1411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A4681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E04C5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1A19A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40595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nil"/>
              <w:left w:val="nil"/>
              <w:bottom w:val="single" w:color="auto" w:sz="8" w:space="0"/>
              <w:right w:val="single" w:color="auto" w:sz="8" w:space="0"/>
            </w:tcBorders>
            <w:shd w:val="clear" w:color="auto" w:fill="auto"/>
            <w:tcMar>
              <w:left w:w="57" w:type="dxa"/>
              <w:right w:w="57" w:type="dxa"/>
            </w:tcMar>
          </w:tcPr>
          <w:p w14:paraId="2BDE48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r>
      <w:tr w14:paraId="1F51AAF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0858CB4F">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14:paraId="39802C5E">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4EAB71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both"/>
              <w:rPr>
                <w:rFonts w:hint="eastAsia" w:ascii="仿宋" w:hAnsi="仿宋" w:eastAsia="仿宋" w:cs="仿宋"/>
                <w:sz w:val="32"/>
                <w:szCs w:val="32"/>
              </w:rPr>
            </w:pPr>
            <w:r>
              <w:rPr>
                <w:rFonts w:hint="eastAsia" w:ascii="仿宋" w:hAnsi="仿宋" w:eastAsia="仿宋" w:cs="仿宋"/>
                <w:kern w:val="0"/>
                <w:sz w:val="32"/>
                <w:szCs w:val="32"/>
                <w:lang w:val="en-US" w:eastAsia="zh-CN"/>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B51D4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AA4F1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5EA4B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CF611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0FCC44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8F174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nil"/>
              <w:left w:val="nil"/>
              <w:bottom w:val="single" w:color="auto" w:sz="8" w:space="0"/>
              <w:right w:val="single" w:color="auto" w:sz="8" w:space="0"/>
            </w:tcBorders>
            <w:shd w:val="clear" w:color="auto" w:fill="auto"/>
            <w:tcMar>
              <w:left w:w="57" w:type="dxa"/>
              <w:right w:w="57" w:type="dxa"/>
            </w:tcMar>
          </w:tcPr>
          <w:p w14:paraId="41611C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r>
      <w:tr w14:paraId="144D57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0DE0302D">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14:paraId="0115537B">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14:paraId="424A0F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3.其他</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4794F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AFA02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E4109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654BB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5854AB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E1EF7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nil"/>
              <w:left w:val="nil"/>
              <w:bottom w:val="single" w:color="auto" w:sz="8" w:space="0"/>
              <w:right w:val="single" w:color="auto" w:sz="8" w:space="0"/>
            </w:tcBorders>
            <w:shd w:val="clear" w:color="auto" w:fill="auto"/>
            <w:tcMar>
              <w:left w:w="57" w:type="dxa"/>
              <w:right w:w="57" w:type="dxa"/>
            </w:tcMar>
          </w:tcPr>
          <w:p w14:paraId="3F8EB5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r>
      <w:tr w14:paraId="7924344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14:paraId="7845BE8E">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14:paraId="69312E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（七）总计</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B5430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DDB2C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AE9F3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F6AA6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A2F49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96B70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nil"/>
              <w:left w:val="nil"/>
              <w:bottom w:val="single" w:color="auto" w:sz="8" w:space="0"/>
              <w:right w:val="single" w:color="auto" w:sz="8" w:space="0"/>
            </w:tcBorders>
            <w:shd w:val="clear" w:color="auto" w:fill="auto"/>
            <w:tcMar>
              <w:left w:w="57" w:type="dxa"/>
              <w:right w:w="57" w:type="dxa"/>
            </w:tcMar>
          </w:tcPr>
          <w:p w14:paraId="68A942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r>
      <w:tr w14:paraId="477666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7551D3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rPr>
              <w:t>四、结转下年度继续办理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20304E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47311D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74B7EC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19E499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752B3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14:paraId="6576E9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c>
          <w:tcPr>
            <w:tcW w:w="689" w:type="dxa"/>
            <w:tcBorders>
              <w:top w:val="nil"/>
              <w:left w:val="nil"/>
              <w:bottom w:val="single" w:color="auto" w:sz="8" w:space="0"/>
              <w:right w:val="single" w:color="auto" w:sz="8" w:space="0"/>
            </w:tcBorders>
            <w:shd w:val="clear" w:color="auto" w:fill="auto"/>
            <w:tcMar>
              <w:left w:w="57" w:type="dxa"/>
              <w:right w:w="57" w:type="dxa"/>
            </w:tcMar>
          </w:tcPr>
          <w:p w14:paraId="73FA20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 0</w:t>
            </w:r>
          </w:p>
        </w:tc>
      </w:tr>
    </w:tbl>
    <w:p w14:paraId="4D5247F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atLeast"/>
        <w:ind w:right="0" w:rightChars="0" w:firstLine="640" w:firstLineChars="200"/>
        <w:jc w:val="left"/>
        <w:rPr>
          <w:rFonts w:hint="eastAsia" w:ascii="Calibri" w:hAnsi="Calibri" w:eastAsia="仿宋" w:cs="Times New Roman"/>
          <w:kern w:val="2"/>
          <w:sz w:val="32"/>
          <w:szCs w:val="24"/>
          <w:lang w:val="en-US" w:eastAsia="zh-CN" w:bidi="ar-SA"/>
        </w:rPr>
      </w:pPr>
      <w:r>
        <w:rPr>
          <w:rFonts w:hint="eastAsia" w:ascii="Calibri" w:hAnsi="Calibri" w:eastAsia="仿宋" w:cs="Times New Roman"/>
          <w:kern w:val="2"/>
          <w:sz w:val="32"/>
          <w:szCs w:val="24"/>
          <w:lang w:val="en-US" w:eastAsia="zh-CN" w:bidi="ar-SA"/>
        </w:rPr>
        <w:t>四、政府信息公开行政复议、行政诉讼情况</w:t>
      </w: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39A16F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946C1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行政复议</w:t>
            </w:r>
          </w:p>
        </w:tc>
        <w:tc>
          <w:tcPr>
            <w:tcW w:w="6503" w:type="dxa"/>
            <w:gridSpan w:val="10"/>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A1A5E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行政诉讼</w:t>
            </w:r>
          </w:p>
        </w:tc>
      </w:tr>
      <w:tr w14:paraId="362E799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69E10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结果维持</w:t>
            </w:r>
          </w:p>
        </w:tc>
        <w:tc>
          <w:tcPr>
            <w:tcW w:w="64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2481E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结果</w:t>
            </w:r>
          </w:p>
          <w:p w14:paraId="4ADB68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纠正</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FC086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其他</w:t>
            </w:r>
          </w:p>
          <w:p w14:paraId="17F342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结果</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3F083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尚未</w:t>
            </w:r>
          </w:p>
          <w:p w14:paraId="67D26E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审结</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132F6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总计</w:t>
            </w:r>
          </w:p>
        </w:tc>
        <w:tc>
          <w:tcPr>
            <w:tcW w:w="3248"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A9ED6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DE5CD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复议后起诉</w:t>
            </w:r>
          </w:p>
        </w:tc>
      </w:tr>
      <w:tr w14:paraId="3184B39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191E3CA">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64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0977C29">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DB9615F">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BD7EF13">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FBC3063">
            <w:pPr>
              <w:keepNext w:val="0"/>
              <w:keepLines w:val="0"/>
              <w:pageBreakBefore w:val="0"/>
              <w:kinsoku/>
              <w:wordWrap/>
              <w:overflowPunct/>
              <w:topLinePunct w:val="0"/>
              <w:autoSpaceDE/>
              <w:autoSpaceDN/>
              <w:bidi w:val="0"/>
              <w:adjustRightInd/>
              <w:snapToGrid/>
              <w:spacing w:beforeAutospacing="0" w:afterAutospacing="0" w:line="560" w:lineRule="atLeast"/>
              <w:rPr>
                <w:rFonts w:hint="eastAsia" w:ascii="仿宋" w:hAnsi="仿宋" w:eastAsia="仿宋" w:cs="仿宋"/>
                <w:sz w:val="32"/>
                <w:szCs w:val="32"/>
              </w:rPr>
            </w:pP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2AC30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结果</w:t>
            </w:r>
          </w:p>
          <w:p w14:paraId="075484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维持</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B04B3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结果</w:t>
            </w:r>
          </w:p>
          <w:p w14:paraId="64680D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纠正</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64DAE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其他</w:t>
            </w:r>
          </w:p>
          <w:p w14:paraId="2BA216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结果</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F0EED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尚未</w:t>
            </w:r>
          </w:p>
          <w:p w14:paraId="4BDDAC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审结</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AF3FA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总计</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FA857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结果</w:t>
            </w:r>
          </w:p>
          <w:p w14:paraId="31FFD9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维持</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09865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结果</w:t>
            </w:r>
          </w:p>
          <w:p w14:paraId="0C1A8E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纠正</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91EA0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其他</w:t>
            </w:r>
          </w:p>
          <w:p w14:paraId="0C89C4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结果</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E9D46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尚未</w:t>
            </w:r>
          </w:p>
          <w:p w14:paraId="52F983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sz w:val="32"/>
                <w:szCs w:val="32"/>
              </w:rPr>
            </w:pPr>
            <w:r>
              <w:rPr>
                <w:rFonts w:hint="eastAsia" w:ascii="仿宋" w:hAnsi="仿宋" w:eastAsia="仿宋" w:cs="仿宋"/>
                <w:kern w:val="0"/>
                <w:sz w:val="32"/>
                <w:szCs w:val="32"/>
                <w:lang w:val="en-US" w:eastAsia="zh-CN"/>
              </w:rPr>
              <w:t>审结</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D6651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rPr>
              <w:t>总计</w:t>
            </w:r>
          </w:p>
        </w:tc>
      </w:tr>
      <w:tr w14:paraId="12F7850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1D42F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firstLine="0" w:firstLineChars="0"/>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F1EBE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firstLine="0" w:firstLine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31DE3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firstLine="0" w:firstLine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7D56F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firstLine="0" w:firstLineChars="0"/>
              <w:jc w:val="center"/>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F11EA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firstLine="0" w:firstLineChars="0"/>
              <w:jc w:val="center"/>
              <w:rPr>
                <w:rFonts w:hint="default"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560EC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81029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4FD18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4E215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16DE9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5C2F2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C2875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C8A45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firstLine="0" w:firstLine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BA248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firstLine="0" w:firstLineChars="0"/>
              <w:jc w:val="center"/>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60273DE">
            <w:pPr>
              <w:keepNext w:val="0"/>
              <w:keepLines w:val="0"/>
              <w:pageBreakBefore w:val="0"/>
              <w:kinsoku/>
              <w:wordWrap/>
              <w:overflowPunct/>
              <w:topLinePunct w:val="0"/>
              <w:autoSpaceDE/>
              <w:autoSpaceDN/>
              <w:bidi w:val="0"/>
              <w:adjustRightInd/>
              <w:snapToGrid/>
              <w:spacing w:beforeAutospacing="0" w:afterAutospacing="0" w:line="560" w:lineRule="atLeast"/>
              <w:jc w:val="center"/>
              <w:rPr>
                <w:rFonts w:hint="default"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0</w:t>
            </w:r>
          </w:p>
        </w:tc>
      </w:tr>
    </w:tbl>
    <w:p w14:paraId="05CDC2C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atLeast"/>
        <w:ind w:right="0" w:rightChars="0" w:firstLine="640" w:firstLineChars="200"/>
        <w:jc w:val="left"/>
        <w:rPr>
          <w:rFonts w:hint="eastAsia" w:ascii="Calibri" w:hAnsi="Calibri" w:eastAsia="仿宋" w:cs="Times New Roman"/>
          <w:kern w:val="2"/>
          <w:sz w:val="32"/>
          <w:szCs w:val="24"/>
          <w:lang w:val="en-US" w:eastAsia="zh-CN" w:bidi="ar-SA"/>
        </w:rPr>
      </w:pPr>
      <w:r>
        <w:rPr>
          <w:rFonts w:hint="eastAsia" w:ascii="Calibri" w:hAnsi="Calibri" w:eastAsia="仿宋" w:cs="Times New Roman"/>
          <w:kern w:val="2"/>
          <w:sz w:val="32"/>
          <w:szCs w:val="24"/>
          <w:lang w:val="en-US" w:eastAsia="zh-CN" w:bidi="ar-SA"/>
        </w:rPr>
        <w:t>五、存在的主要问题及改进情况</w:t>
      </w:r>
    </w:p>
    <w:p w14:paraId="394C4165">
      <w:pPr>
        <w:rPr>
          <w:rFonts w:hint="eastAsia" w:ascii="仿宋" w:hAnsi="仿宋" w:eastAsia="仿宋" w:cs="仿宋"/>
          <w:kern w:val="0"/>
          <w:sz w:val="32"/>
          <w:szCs w:val="32"/>
          <w:shd w:val="clear" w:color="auto" w:fill="FFFFFF"/>
          <w:lang w:val="en-US" w:eastAsia="zh-CN" w:bidi="ar-SA"/>
        </w:rPr>
      </w:pPr>
      <w:r>
        <w:rPr>
          <w:rFonts w:hint="eastAsia" w:ascii="仿宋_GB2312" w:hAnsi="仿宋_GB2312" w:eastAsia="仿宋_GB2312" w:cs="仿宋_GB2312"/>
          <w:sz w:val="32"/>
          <w:szCs w:val="32"/>
        </w:rPr>
        <w:t>　　</w:t>
      </w:r>
      <w:r>
        <w:rPr>
          <w:rFonts w:hint="eastAsia" w:ascii="仿宋" w:hAnsi="仿宋" w:eastAsia="仿宋" w:cs="仿宋"/>
          <w:kern w:val="0"/>
          <w:sz w:val="32"/>
          <w:szCs w:val="32"/>
          <w:shd w:val="clear" w:color="auto" w:fill="FFFFFF"/>
          <w:lang w:val="en-US" w:eastAsia="zh-CN" w:bidi="ar-SA"/>
        </w:rPr>
        <w:t>我中心已制定改进措施并着手实施。首先，加强时效性管理，建立信息更新提醒机制，确保各类信息在规定时间内得到及时更新。但仍存在一些问题：</w:t>
      </w:r>
      <w:r>
        <w:rPr>
          <w:rFonts w:hint="eastAsia" w:ascii="仿宋" w:hAnsi="仿宋" w:eastAsia="仿宋" w:cs="仿宋"/>
          <w:b/>
          <w:bCs/>
          <w:kern w:val="0"/>
          <w:sz w:val="32"/>
          <w:szCs w:val="32"/>
          <w:shd w:val="clear" w:color="auto" w:fill="FFFFFF"/>
          <w:lang w:val="en-US" w:eastAsia="zh-CN" w:bidi="ar-SA"/>
        </w:rPr>
        <w:t>一是</w:t>
      </w:r>
      <w:r>
        <w:rPr>
          <w:rFonts w:hint="eastAsia" w:ascii="仿宋" w:hAnsi="仿宋" w:eastAsia="仿宋" w:cs="仿宋"/>
          <w:kern w:val="0"/>
          <w:sz w:val="32"/>
          <w:szCs w:val="32"/>
          <w:shd w:val="clear" w:color="auto" w:fill="FFFFFF"/>
          <w:lang w:val="en-US" w:eastAsia="zh-CN" w:bidi="ar-SA"/>
        </w:rPr>
        <w:t>信息公开的时效性有待提高，部分信息更新不够及时，导致公众获取信息的时效性受到影响。</w:t>
      </w:r>
      <w:r>
        <w:rPr>
          <w:rFonts w:hint="eastAsia" w:ascii="仿宋" w:hAnsi="仿宋" w:eastAsia="仿宋" w:cs="仿宋"/>
          <w:b/>
          <w:bCs/>
          <w:kern w:val="0"/>
          <w:sz w:val="32"/>
          <w:szCs w:val="32"/>
          <w:shd w:val="clear" w:color="auto" w:fill="FFFFFF"/>
          <w:lang w:val="en-US" w:eastAsia="zh-CN" w:bidi="ar-SA"/>
        </w:rPr>
        <w:t>二是</w:t>
      </w:r>
      <w:r>
        <w:rPr>
          <w:rFonts w:hint="eastAsia" w:ascii="仿宋" w:hAnsi="仿宋" w:eastAsia="仿宋" w:cs="仿宋"/>
          <w:kern w:val="0"/>
          <w:sz w:val="32"/>
          <w:szCs w:val="32"/>
          <w:shd w:val="clear" w:color="auto" w:fill="FFFFFF"/>
          <w:lang w:val="en-US" w:eastAsia="zh-CN" w:bidi="ar-SA"/>
        </w:rPr>
        <w:t>信息公开的内容需进一步丰富，部分关键信息的公开程度不够，难以满足公众对信息的全面需求。</w:t>
      </w:r>
      <w:r>
        <w:rPr>
          <w:rFonts w:hint="eastAsia" w:ascii="仿宋" w:hAnsi="仿宋" w:eastAsia="仿宋" w:cs="仿宋"/>
          <w:b/>
          <w:bCs/>
          <w:kern w:val="0"/>
          <w:sz w:val="32"/>
          <w:szCs w:val="32"/>
          <w:shd w:val="clear" w:color="auto" w:fill="FFFFFF"/>
          <w:lang w:val="en-US" w:eastAsia="zh-CN" w:bidi="ar-SA"/>
        </w:rPr>
        <w:t>三是</w:t>
      </w:r>
      <w:r>
        <w:rPr>
          <w:rFonts w:hint="eastAsia" w:ascii="仿宋" w:hAnsi="仿宋" w:eastAsia="仿宋" w:cs="仿宋"/>
          <w:kern w:val="0"/>
          <w:sz w:val="32"/>
          <w:szCs w:val="32"/>
          <w:shd w:val="clear" w:color="auto" w:fill="FFFFFF"/>
          <w:lang w:val="en-US" w:eastAsia="zh-CN" w:bidi="ar-SA"/>
        </w:rPr>
        <w:t>信息公开的渠道需进一步拓宽，除了传统的政府网站外，还需探索更多元化的信息公开方式，以提高信息的覆盖面和影响力。</w:t>
      </w:r>
    </w:p>
    <w:p w14:paraId="1F3C7D33">
      <w:pPr>
        <w:ind w:firstLine="640" w:firstLineChars="200"/>
        <w:rPr>
          <w:rFonts w:hint="eastAsia" w:ascii="仿宋" w:hAnsi="仿宋" w:eastAsia="仿宋" w:cs="仿宋"/>
          <w:kern w:val="0"/>
          <w:sz w:val="32"/>
          <w:szCs w:val="32"/>
          <w:shd w:val="clear" w:color="auto" w:fill="FFFFFF"/>
          <w:lang w:val="en-US" w:eastAsia="zh-CN" w:bidi="ar-SA"/>
        </w:rPr>
      </w:pPr>
      <w:r>
        <w:rPr>
          <w:rFonts w:hint="eastAsia" w:ascii="仿宋" w:hAnsi="仿宋" w:eastAsia="仿宋" w:cs="仿宋"/>
          <w:kern w:val="0"/>
          <w:sz w:val="32"/>
          <w:szCs w:val="32"/>
          <w:shd w:val="clear" w:color="auto" w:fill="FFFFFF"/>
          <w:lang w:val="en-US" w:eastAsia="zh-CN" w:bidi="ar-SA"/>
        </w:rPr>
        <w:t>针对上述问题，我中心将采取以下措施加以改进：</w:t>
      </w:r>
      <w:r>
        <w:rPr>
          <w:rFonts w:hint="eastAsia" w:ascii="仿宋" w:hAnsi="仿宋" w:eastAsia="仿宋" w:cs="仿宋"/>
          <w:b/>
          <w:bCs/>
          <w:kern w:val="0"/>
          <w:sz w:val="32"/>
          <w:szCs w:val="32"/>
          <w:shd w:val="clear" w:color="auto" w:fill="FFFFFF"/>
          <w:lang w:val="en-US" w:eastAsia="zh-CN" w:bidi="ar-SA"/>
        </w:rPr>
        <w:t>一是</w:t>
      </w:r>
      <w:r>
        <w:rPr>
          <w:rFonts w:hint="eastAsia" w:ascii="仿宋" w:hAnsi="仿宋" w:eastAsia="仿宋" w:cs="仿宋"/>
          <w:kern w:val="0"/>
          <w:sz w:val="32"/>
          <w:szCs w:val="32"/>
          <w:shd w:val="clear" w:color="auto" w:fill="FFFFFF"/>
          <w:lang w:val="en-US" w:eastAsia="zh-CN" w:bidi="ar-SA"/>
        </w:rPr>
        <w:t>加强信息更新的时效性，建立信息更新的长效机制，确保信息的及时性和准确性，提升公众获取信息的便捷性和时效性。</w:t>
      </w:r>
      <w:r>
        <w:rPr>
          <w:rFonts w:hint="eastAsia" w:ascii="仿宋" w:hAnsi="仿宋" w:eastAsia="仿宋" w:cs="仿宋"/>
          <w:b/>
          <w:bCs/>
          <w:kern w:val="0"/>
          <w:sz w:val="32"/>
          <w:szCs w:val="32"/>
          <w:shd w:val="clear" w:color="auto" w:fill="FFFFFF"/>
          <w:lang w:val="en-US" w:eastAsia="zh-CN" w:bidi="ar-SA"/>
        </w:rPr>
        <w:t>二是</w:t>
      </w:r>
      <w:r>
        <w:rPr>
          <w:rFonts w:hint="eastAsia" w:ascii="仿宋" w:hAnsi="仿宋" w:eastAsia="仿宋" w:cs="仿宋"/>
          <w:kern w:val="0"/>
          <w:sz w:val="32"/>
          <w:szCs w:val="32"/>
          <w:shd w:val="clear" w:color="auto" w:fill="FFFFFF"/>
          <w:lang w:val="en-US" w:eastAsia="zh-CN" w:bidi="ar-SA"/>
        </w:rPr>
        <w:t>深化信息公开的内容，根据公众需求，进一步细化信息公开的目录，增加关键信息的公开频次和透明度，满足公众对信息的全面需求。</w:t>
      </w:r>
      <w:r>
        <w:rPr>
          <w:rFonts w:hint="eastAsia" w:ascii="仿宋" w:hAnsi="仿宋" w:eastAsia="仿宋" w:cs="仿宋"/>
          <w:b/>
          <w:bCs/>
          <w:kern w:val="0"/>
          <w:sz w:val="32"/>
          <w:szCs w:val="32"/>
          <w:shd w:val="clear" w:color="auto" w:fill="FFFFFF"/>
          <w:lang w:val="en-US" w:eastAsia="zh-CN" w:bidi="ar-SA"/>
        </w:rPr>
        <w:t>三是</w:t>
      </w:r>
      <w:r>
        <w:rPr>
          <w:rFonts w:hint="eastAsia" w:ascii="仿宋" w:hAnsi="仿宋" w:eastAsia="仿宋" w:cs="仿宋"/>
          <w:kern w:val="0"/>
          <w:sz w:val="32"/>
          <w:szCs w:val="32"/>
          <w:shd w:val="clear" w:color="auto" w:fill="FFFFFF"/>
          <w:lang w:val="en-US" w:eastAsia="zh-CN" w:bidi="ar-SA"/>
        </w:rPr>
        <w:t>拓宽信息公开的渠道，积极利用新媒体平台、社交媒体等多元化渠道，扩大信息公开的覆盖面和影响力，提高公众对政府工作的知晓度和满意度。</w:t>
      </w:r>
    </w:p>
    <w:p w14:paraId="026084FC">
      <w:pPr>
        <w:numPr>
          <w:ilvl w:val="0"/>
          <w:numId w:val="1"/>
        </w:numPr>
        <w:ind w:firstLine="640" w:firstLineChars="200"/>
        <w:rPr>
          <w:rFonts w:hint="eastAsia" w:ascii="Calibri" w:hAnsi="Calibri" w:eastAsia="仿宋" w:cs="Times New Roman"/>
          <w:kern w:val="2"/>
          <w:sz w:val="32"/>
          <w:szCs w:val="24"/>
          <w:lang w:val="en-US" w:eastAsia="zh-CN" w:bidi="ar-SA"/>
        </w:rPr>
      </w:pPr>
      <w:r>
        <w:rPr>
          <w:rFonts w:hint="eastAsia" w:ascii="Calibri" w:hAnsi="Calibri" w:eastAsia="仿宋" w:cs="Times New Roman"/>
          <w:kern w:val="2"/>
          <w:sz w:val="32"/>
          <w:szCs w:val="24"/>
          <w:lang w:val="en-US" w:eastAsia="zh-CN" w:bidi="ar-SA"/>
        </w:rPr>
        <w:t>其他需要报告的事项</w:t>
      </w:r>
    </w:p>
    <w:p w14:paraId="3A68ADC0">
      <w:pPr>
        <w:numPr>
          <w:ilvl w:val="0"/>
          <w:numId w:val="0"/>
        </w:numPr>
        <w:ind w:firstLine="640" w:firstLineChars="200"/>
        <w:rPr>
          <w:rFonts w:hint="eastAsia" w:ascii="Calibri" w:hAnsi="Calibri" w:eastAsia="仿宋" w:cs="Times New Roman"/>
          <w:kern w:val="2"/>
          <w:sz w:val="32"/>
          <w:szCs w:val="24"/>
          <w:lang w:val="en-US" w:eastAsia="zh-CN" w:bidi="ar-SA"/>
        </w:rPr>
      </w:pPr>
      <w:r>
        <w:rPr>
          <w:rFonts w:hint="eastAsia" w:ascii="Calibri" w:hAnsi="Calibri" w:eastAsia="仿宋" w:cs="Times New Roman"/>
          <w:kern w:val="2"/>
          <w:sz w:val="32"/>
          <w:szCs w:val="24"/>
          <w:lang w:val="en-US" w:eastAsia="zh-CN" w:bidi="ar-SA"/>
        </w:rPr>
        <w:t>无</w:t>
      </w:r>
    </w:p>
    <w:p w14:paraId="225B78F3">
      <w:pPr>
        <w:numPr>
          <w:ilvl w:val="0"/>
          <w:numId w:val="0"/>
        </w:numPr>
        <w:ind w:firstLine="4800" w:firstLineChars="1500"/>
        <w:rPr>
          <w:rFonts w:hint="eastAsia" w:ascii="Calibri" w:hAnsi="Calibri" w:eastAsia="仿宋" w:cs="Times New Roman"/>
          <w:kern w:val="2"/>
          <w:sz w:val="32"/>
          <w:szCs w:val="24"/>
          <w:lang w:val="en-US" w:eastAsia="zh-CN" w:bidi="ar-SA"/>
        </w:rPr>
      </w:pPr>
      <w:r>
        <w:rPr>
          <w:rFonts w:hint="eastAsia" w:ascii="Calibri" w:hAnsi="Calibri" w:eastAsia="仿宋" w:cs="Times New Roman"/>
          <w:kern w:val="2"/>
          <w:sz w:val="32"/>
          <w:szCs w:val="24"/>
          <w:lang w:val="en-US" w:eastAsia="zh-CN" w:bidi="ar-SA"/>
        </w:rPr>
        <w:t xml:space="preserve">  同和太种畜繁育中心</w:t>
      </w:r>
    </w:p>
    <w:p w14:paraId="0D02EC8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atLeast"/>
        <w:ind w:right="0" w:rightChars="0" w:firstLine="5440" w:firstLineChars="1700"/>
        <w:jc w:val="left"/>
        <w:rPr>
          <w:rFonts w:hint="default" w:ascii="Calibri" w:hAnsi="Calibri" w:eastAsia="仿宋" w:cs="Times New Roman"/>
          <w:kern w:val="2"/>
          <w:sz w:val="32"/>
          <w:szCs w:val="24"/>
          <w:lang w:val="en-US" w:eastAsia="zh-CN" w:bidi="ar-SA"/>
        </w:rPr>
      </w:pPr>
      <w:r>
        <w:rPr>
          <w:rFonts w:hint="eastAsia" w:ascii="Calibri" w:hAnsi="Calibri" w:eastAsia="仿宋" w:cs="Times New Roman"/>
          <w:kern w:val="2"/>
          <w:sz w:val="32"/>
          <w:szCs w:val="24"/>
          <w:lang w:val="en-US" w:eastAsia="zh-CN" w:bidi="ar-SA"/>
        </w:rPr>
        <w:t>2024年12月31日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西文正文">
    <w:altName w:val="Menk Amglang Tig"/>
    <w:panose1 w:val="00000000000000000000"/>
    <w:charset w:val="00"/>
    <w:family w:val="auto"/>
    <w:pitch w:val="default"/>
    <w:sig w:usb0="00000000" w:usb1="00000000" w:usb2="00000000" w:usb3="00000000" w:csb0="00000000" w:csb1="00000000"/>
  </w:font>
  <w:font w:name="Menk Amglang Tig">
    <w:panose1 w:val="02000500000000000000"/>
    <w:charset w:val="00"/>
    <w:family w:val="auto"/>
    <w:pitch w:val="default"/>
    <w:sig w:usb0="A000029F" w:usb1="1041E44A" w:usb2="00020012" w:usb3="00000000" w:csb0="00000003" w:csb1="00000000"/>
  </w:font>
  <w:font w:name="+中文正文">
    <w:altName w:val="Menk Amglang Tig"/>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45BD69"/>
    <w:multiLevelType w:val="singleLevel"/>
    <w:tmpl w:val="EF45BD69"/>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3NWU1MmEwZTcyZmJmZmQ4YzE5ODM3NDhhYjllMDUifQ=="/>
  </w:docVars>
  <w:rsids>
    <w:rsidRoot w:val="00172A27"/>
    <w:rsid w:val="003E3D6F"/>
    <w:rsid w:val="00C6664C"/>
    <w:rsid w:val="01253372"/>
    <w:rsid w:val="01D315AF"/>
    <w:rsid w:val="031A67DB"/>
    <w:rsid w:val="03A762C0"/>
    <w:rsid w:val="058A5E9A"/>
    <w:rsid w:val="05B253F0"/>
    <w:rsid w:val="086C1376"/>
    <w:rsid w:val="0A5B7E05"/>
    <w:rsid w:val="0DCF4D92"/>
    <w:rsid w:val="0F0F5662"/>
    <w:rsid w:val="0F265058"/>
    <w:rsid w:val="11F80BC9"/>
    <w:rsid w:val="131653AD"/>
    <w:rsid w:val="142C2A67"/>
    <w:rsid w:val="18A312F5"/>
    <w:rsid w:val="19313025"/>
    <w:rsid w:val="19572A7D"/>
    <w:rsid w:val="198C7FDB"/>
    <w:rsid w:val="19A3737E"/>
    <w:rsid w:val="1B283D33"/>
    <w:rsid w:val="1B2D785E"/>
    <w:rsid w:val="1DEE2FAA"/>
    <w:rsid w:val="224F6049"/>
    <w:rsid w:val="232E5C5F"/>
    <w:rsid w:val="23EB6515"/>
    <w:rsid w:val="24B33E88"/>
    <w:rsid w:val="265A320F"/>
    <w:rsid w:val="279544FE"/>
    <w:rsid w:val="29AC3D81"/>
    <w:rsid w:val="2B8054C5"/>
    <w:rsid w:val="2CAD7478"/>
    <w:rsid w:val="2D6D1534"/>
    <w:rsid w:val="2DFF42B1"/>
    <w:rsid w:val="302341AF"/>
    <w:rsid w:val="30234671"/>
    <w:rsid w:val="316118F5"/>
    <w:rsid w:val="32393342"/>
    <w:rsid w:val="32664A29"/>
    <w:rsid w:val="342A3DB8"/>
    <w:rsid w:val="34B139D4"/>
    <w:rsid w:val="35C93BF7"/>
    <w:rsid w:val="36145188"/>
    <w:rsid w:val="38795BE6"/>
    <w:rsid w:val="39C17AA3"/>
    <w:rsid w:val="3AA06FEA"/>
    <w:rsid w:val="3B691AD2"/>
    <w:rsid w:val="3E3046B7"/>
    <w:rsid w:val="3E76028C"/>
    <w:rsid w:val="3EBA6F59"/>
    <w:rsid w:val="41A545C9"/>
    <w:rsid w:val="44653E38"/>
    <w:rsid w:val="462A5900"/>
    <w:rsid w:val="47C52A22"/>
    <w:rsid w:val="47D06A35"/>
    <w:rsid w:val="49ED1B20"/>
    <w:rsid w:val="4A835FE1"/>
    <w:rsid w:val="4AB44216"/>
    <w:rsid w:val="4D783DF7"/>
    <w:rsid w:val="4E17716C"/>
    <w:rsid w:val="4EB946C7"/>
    <w:rsid w:val="50AC6291"/>
    <w:rsid w:val="50FB2D75"/>
    <w:rsid w:val="523A78CD"/>
    <w:rsid w:val="55C43B1B"/>
    <w:rsid w:val="58617CF9"/>
    <w:rsid w:val="5886386C"/>
    <w:rsid w:val="58A72F49"/>
    <w:rsid w:val="58F05189"/>
    <w:rsid w:val="59A246D5"/>
    <w:rsid w:val="5D0B6C89"/>
    <w:rsid w:val="5D1A28D7"/>
    <w:rsid w:val="5D4930BA"/>
    <w:rsid w:val="5DF14932"/>
    <w:rsid w:val="5FC058B5"/>
    <w:rsid w:val="60501FDB"/>
    <w:rsid w:val="62333BA9"/>
    <w:rsid w:val="62CA25A7"/>
    <w:rsid w:val="64155AA4"/>
    <w:rsid w:val="678E5BEE"/>
    <w:rsid w:val="67A21D44"/>
    <w:rsid w:val="69AC1E06"/>
    <w:rsid w:val="6AC2781C"/>
    <w:rsid w:val="6BB208FC"/>
    <w:rsid w:val="6CC91B21"/>
    <w:rsid w:val="6D2D0302"/>
    <w:rsid w:val="6DE24C48"/>
    <w:rsid w:val="6EFD5AB2"/>
    <w:rsid w:val="706933FF"/>
    <w:rsid w:val="7568025C"/>
    <w:rsid w:val="779C04A1"/>
    <w:rsid w:val="7A085B4A"/>
    <w:rsid w:val="7BD745FA"/>
    <w:rsid w:val="7D284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240" w:lineRule="auto"/>
      <w:ind w:firstLine="0" w:firstLineChars="0"/>
      <w:jc w:val="center"/>
      <w:outlineLvl w:val="0"/>
    </w:pPr>
    <w:rPr>
      <w:rFonts w:ascii="Calibri" w:hAnsi="Calibri" w:eastAsia="方正小标宋简体"/>
      <w:b/>
      <w:kern w:val="44"/>
      <w:sz w:val="44"/>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6">
    <w:name w:val="Strong"/>
    <w:basedOn w:val="5"/>
    <w:autoRedefine/>
    <w:qFormat/>
    <w:uiPriority w:val="22"/>
    <w:rPr>
      <w:b/>
    </w:rPr>
  </w:style>
  <w:style w:type="paragraph" w:customStyle="1" w:styleId="7">
    <w:name w:val="正文仿宋"/>
    <w:basedOn w:val="1"/>
    <w:qFormat/>
    <w:uiPriority w:val="0"/>
    <w:rPr>
      <w:rFonts w:eastAsia="仿宋" w:asciiTheme="minorAscii" w:hAnsiTheme="minorAsci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2764</Words>
  <Characters>2850</Characters>
  <Lines>1</Lines>
  <Paragraphs>1</Paragraphs>
  <TotalTime>22</TotalTime>
  <ScaleCrop>false</ScaleCrop>
  <LinksUpToDate>false</LinksUpToDate>
  <CharactersWithSpaces>3015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2022-01-05T07:15:00Z</dcterms:created>
  <dc:creator>Аичир</dc:creator>
  <cp:lastModifiedBy>盐多会嫌</cp:lastModifiedBy>
  <cp:lastPrinted>2025-01-06T09:21:25Z</cp:lastPrinted>
  <dcterms:modified xsi:type="dcterms:W3CDTF">2025-01-06T09:22:21Z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42B7ACCF20214C109B01CE70B35F9310_13</vt:lpwstr>
  </property>
  <property fmtid="{D5CDD505-2E9C-101B-9397-08002B2CF9AE}" pid="4" name="KSOTemplateDocerSaveRecord">
    <vt:lpwstr>eyJoZGlkIjoiZmIyMTBiMzVmY2NjNGJhYWJlOWMxMjkzMmY3ZTk2MzMiLCJ1c2VySWQiOiIyODk4OTc1MjUifQ==</vt:lpwstr>
  </property>
</Properties>
</file>